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wordprocessingml.document.main+xml" PartName="/word/document.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footer+xml" PartName="/word/foot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pBdr>
          <w:top w:color="auto" w:space="1" w:sz="4" w:val="single"/>
        </w:pBdr>
      </w:pPr>
    </w:p>
    <w:p w:rsidR="00000000" w:rsidDel="00000000" w:rsidP="00000000" w:rsidRDefault="00000000" w:rsidRPr="00000000">
      <w:pPr>
        <w:contextualSpacing w:val="0"/>
        <w:jc w:val="center"/>
      </w:pPr>
      <w:r w:rsidDel="00000000" w:rsidR="00000000" w:rsidRPr="00000000">
        <w:rPr>
          <w:b w:val="1"/>
          <w:sz w:val="28"/>
          <w:szCs w:val="28"/>
        </w:rPr>
        <w:t xml:space="preserve">Délégation de service public pour la mise en place et l'exploitation d'un réseau de chaleur dans l'Écoquartier de l'Arsenal</w:t>
      </w:r>
    </w:p>
    <w:p w:rsidR="00000000" w:rsidDel="00000000" w:rsidP="00000000" w:rsidRDefault="00000000" w:rsidRPr="00000000">
      <w:pPr>
        <w:pBdr>
          <w:top w:color="auto" w:space="1" w:sz="4" w:val="single"/>
        </w:pBdr>
      </w:pPr>
    </w:p>
    <w:p w:rsidR="00000000" w:rsidDel="00000000" w:rsidP="00000000" w:rsidRDefault="00000000" w:rsidRPr="00000000">
      <w:pPr>
        <w:pBdr>
          <w:top w:color="auto" w:space="1" w:sz="4" w:val="single"/>
        </w:pBdr>
      </w:pPr>
    </w:p>
    <w:p w:rsidR="00000000" w:rsidDel="00000000" w:rsidP="00000000" w:rsidRDefault="00000000" w:rsidRPr="00000000">
      <w:pPr>
        <w:contextualSpacing w:val="0"/>
        <w:jc w:val="center"/>
      </w:pPr>
      <w:r w:rsidDel="00000000" w:rsidR="00000000" w:rsidRPr="00000000">
        <w:rPr/>
      </w:r>
    </w:p>
    <w:p w:rsidR="00000000" w:rsidDel="00000000" w:rsidP="00000000" w:rsidRDefault="00000000" w:rsidRPr="00000000">
      <w:pPr>
        <w:pBdr>
          <w:top w:color="auto" w:space="1" w:sz="4" w:val="single"/>
        </w:pBdr>
      </w:pPr>
    </w:p>
    <w:p w:rsidR="00000000" w:rsidDel="00000000" w:rsidP="00000000" w:rsidRDefault="00000000" w:rsidRPr="00000000">
      <w:pPr>
        <w:pBdr>
          <w:top w:color="auto" w:space="1" w:sz="4" w:val="single"/>
        </w:pBdr>
      </w:pPr>
    </w:p>
    <w:p w:rsidR="00000000" w:rsidDel="00000000" w:rsidP="00000000" w:rsidRDefault="00000000" w:rsidRPr="00000000">
      <w:pPr>
        <w:contextualSpacing w:val="0"/>
        <w:jc w:val="center"/>
      </w:pPr>
      <w:r w:rsidDel="00000000" w:rsidR="00000000" w:rsidRPr="00000000">
        <w:rPr>
          <w:b w:val="1"/>
          <w:sz w:val="28"/>
          <w:szCs w:val="28"/>
        </w:rPr>
        <w:t xml:space="preserve">Rapport de présentation préalable</w:t>
      </w:r>
    </w:p>
    <w:p w:rsidR="00000000" w:rsidDel="00000000" w:rsidP="00000000" w:rsidRDefault="00000000" w:rsidRPr="00000000">
      <w:pPr>
        <w:pBdr>
          <w:top w:color="auto" w:space="1" w:sz="4" w:val="single"/>
        </w:pBdr>
      </w:pPr>
    </w:p>
    <w:p w:rsidR="00000000" w:rsidDel="00000000" w:rsidP="00000000" w:rsidRDefault="00000000" w:rsidRPr="00000000">
      <w:pPr>
        <w:pBdr>
          <w:top w:color="auto" w:space="1" w:sz="4" w:val="single"/>
        </w:pBdr>
      </w:pPr>
    </w:p>
    <w:p w:rsidR="00000000" w:rsidDel="00000000" w:rsidP="00000000" w:rsidRDefault="00000000" w:rsidRPr="00000000">
      <w:pPr>
        <w:contextualSpacing w:val="0"/>
        <w:jc w:val="center"/>
      </w:pPr>
      <w:r w:rsidDel="00000000" w:rsidR="00000000" w:rsidRPr="00000000">
        <w:rPr/>
      </w:r>
    </w:p>
    <w:p w:rsidR="00000000" w:rsidDel="00000000" w:rsidP="00000000" w:rsidRDefault="00000000" w:rsidRPr="00000000">
      <w:pPr>
        <w:pBdr>
          <w:top w:color="auto" w:space="1" w:sz="4" w:val="single"/>
        </w:pBdr>
      </w:pP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color w:val="111111"/>
          <w:sz w:val="22"/>
          <w:szCs w:val="22"/>
        </w:rPr>
        <w:t xml:space="preserve">Ce rapport a pour objet de présenter les caractéristiques de la nouvelle délégation conformément à l’article  L.1411-4 du code Général de Collectivités territoriales (CGCT).</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b w:val="1"/>
          <w:u w:val="single"/>
        </w:rPr>
        <w:t xml:space="preserve">1- Introduction</w:t>
      </w:r>
    </w:p>
    <w:p w:rsidR="00000000" w:rsidDel="00000000" w:rsidP="00000000" w:rsidRDefault="00000000" w:rsidRPr="00000000">
      <w:pPr>
        <w:widowControl w:val="1"/>
        <w:spacing w:after="0" w:before="0" w:line="240" w:lineRule="auto"/>
        <w:ind w:left="0" w:right="0" w:firstLine="0"/>
        <w:contextualSpacing w:val="0"/>
        <w:jc w:val="both"/>
      </w:pPr>
      <w:r w:rsidDel="00000000" w:rsidR="00000000" w:rsidRPr="00000000">
        <w:rPr/>
      </w:r>
    </w:p>
    <w:p w:rsidR="00000000" w:rsidDel="00000000" w:rsidP="00000000" w:rsidRDefault="00000000" w:rsidRPr="00000000">
      <w:pPr>
        <w:widowControl w:val="1"/>
        <w:spacing w:after="0" w:before="0" w:line="240" w:lineRule="auto"/>
        <w:ind w:left="0" w:right="0" w:firstLine="0"/>
        <w:contextualSpacing w:val="0"/>
        <w:jc w:val="both"/>
      </w:pPr>
      <w:r w:rsidDel="00000000" w:rsidR="00000000" w:rsidRPr="00000000">
        <w:rPr>
          <w:rFonts w:ascii="Times New Roman" w:cs="Times New Roman" w:eastAsia="Times New Roman" w:hAnsi="Times New Roman"/>
          <w:color w:val="000000"/>
          <w:sz w:val="22"/>
          <w:szCs w:val="22"/>
          <w:vertAlign w:val="baseline"/>
        </w:rPr>
        <w:t xml:space="preserve">L’écoquartier l'Arsenal, d'une superficie de 26 ha environ, prévoit la construction de logements (environ 2 500), d’équipements publics et de locaux tertiaires, représentant plus de 250 000 m2, dans une perspective de développement durable, permettant de réfléchir au plus tôt, avant même les phases de conception, à la gestion des problèmes urbanistiques tels que :</w:t>
      </w:r>
    </w:p>
    <w:p w:rsidR="00000000" w:rsidDel="00000000" w:rsidP="00000000" w:rsidRDefault="00000000" w:rsidRPr="00000000">
      <w:pPr>
        <w:widowControl w:val="1"/>
        <w:spacing w:after="0" w:before="0" w:line="240" w:lineRule="auto"/>
        <w:ind w:left="0" w:right="0" w:firstLine="0"/>
        <w:contextualSpacing w:val="0"/>
        <w:jc w:val="both"/>
      </w:pPr>
      <w:r w:rsidDel="00000000" w:rsidR="00000000" w:rsidRPr="00000000">
        <w:rPr/>
      </w:r>
    </w:p>
    <w:p w:rsidR="00000000" w:rsidDel="00000000" w:rsidP="00000000" w:rsidRDefault="00000000" w:rsidRPr="00000000">
      <w:pPr>
        <w:widowControl w:val="1"/>
        <w:spacing w:after="147" w:before="0" w:line="240" w:lineRule="auto"/>
        <w:ind w:left="300" w:right="0" w:firstLine="0"/>
        <w:contextualSpacing w:val="0"/>
        <w:jc w:val="both"/>
      </w:pPr>
      <w:r w:rsidDel="00000000" w:rsidR="00000000" w:rsidRPr="00000000">
        <w:rPr>
          <w:rFonts w:ascii="Times New Roman" w:cs="Times New Roman" w:eastAsia="Times New Roman" w:hAnsi="Times New Roman"/>
          <w:color w:val="000000"/>
          <w:sz w:val="22"/>
          <w:szCs w:val="22"/>
          <w:vertAlign w:val="baseline"/>
        </w:rPr>
        <w:t xml:space="preserve">- la gestion de l’eau (eau pluviale, assainissement),</w:t>
      </w:r>
    </w:p>
    <w:p w:rsidR="00000000" w:rsidDel="00000000" w:rsidP="00000000" w:rsidRDefault="00000000" w:rsidRPr="00000000">
      <w:pPr>
        <w:widowControl w:val="1"/>
        <w:spacing w:after="147" w:before="0" w:line="240" w:lineRule="auto"/>
        <w:ind w:left="300" w:right="0" w:firstLine="0"/>
        <w:contextualSpacing w:val="0"/>
        <w:jc w:val="both"/>
      </w:pPr>
      <w:r w:rsidDel="00000000" w:rsidR="00000000" w:rsidRPr="00000000">
        <w:rPr>
          <w:rFonts w:ascii="Times New Roman" w:cs="Times New Roman" w:eastAsia="Times New Roman" w:hAnsi="Times New Roman"/>
          <w:color w:val="000000"/>
          <w:sz w:val="22"/>
          <w:szCs w:val="22"/>
          <w:vertAlign w:val="baseline"/>
        </w:rPr>
        <w:t xml:space="preserve">- les modalités de déplacement (déplacement doux) et de la gestion des espaces de circulation (voies principales, voies secondaires, voies piétonnes …),</w:t>
      </w:r>
    </w:p>
    <w:p w:rsidR="00000000" w:rsidDel="00000000" w:rsidP="00000000" w:rsidRDefault="00000000" w:rsidRPr="00000000">
      <w:pPr>
        <w:widowControl w:val="1"/>
        <w:spacing w:after="147" w:before="0" w:line="240" w:lineRule="auto"/>
        <w:ind w:left="300" w:right="0" w:firstLine="0"/>
        <w:contextualSpacing w:val="0"/>
        <w:jc w:val="both"/>
      </w:pPr>
      <w:r w:rsidDel="00000000" w:rsidR="00000000" w:rsidRPr="00000000">
        <w:rPr>
          <w:rFonts w:ascii="Times New Roman" w:cs="Times New Roman" w:eastAsia="Times New Roman" w:hAnsi="Times New Roman"/>
          <w:color w:val="000000"/>
          <w:sz w:val="22"/>
          <w:szCs w:val="22"/>
          <w:vertAlign w:val="baseline"/>
        </w:rPr>
        <w:t xml:space="preserve">- l’intégration sociale, la participation des citoyens,</w:t>
      </w:r>
    </w:p>
    <w:p w:rsidR="00000000" w:rsidDel="00000000" w:rsidP="00000000" w:rsidRDefault="00000000" w:rsidRPr="00000000">
      <w:pPr>
        <w:widowControl w:val="1"/>
        <w:spacing w:after="147" w:before="0" w:line="240" w:lineRule="auto"/>
        <w:ind w:left="300" w:right="0" w:firstLine="0"/>
        <w:contextualSpacing w:val="0"/>
        <w:jc w:val="both"/>
      </w:pPr>
      <w:r w:rsidDel="00000000" w:rsidR="00000000" w:rsidRPr="00000000">
        <w:rPr>
          <w:rFonts w:ascii="Times New Roman" w:cs="Times New Roman" w:eastAsia="Times New Roman" w:hAnsi="Times New Roman"/>
          <w:color w:val="000000"/>
          <w:sz w:val="22"/>
          <w:szCs w:val="22"/>
          <w:vertAlign w:val="baseline"/>
        </w:rPr>
        <w:t xml:space="preserve">- la répartition et les interactions entre les différents espaces : logements/espaces publics / locaux tertiaires, espaces verts, …</w:t>
      </w:r>
    </w:p>
    <w:p w:rsidR="00000000" w:rsidDel="00000000" w:rsidP="00000000" w:rsidRDefault="00000000" w:rsidRPr="00000000">
      <w:pPr>
        <w:widowControl w:val="1"/>
        <w:spacing w:after="0" w:before="0" w:line="240" w:lineRule="auto"/>
        <w:ind w:left="300" w:right="0" w:firstLine="0"/>
        <w:contextualSpacing w:val="0"/>
        <w:jc w:val="both"/>
      </w:pPr>
      <w:r w:rsidDel="00000000" w:rsidR="00000000" w:rsidRPr="00000000">
        <w:rPr>
          <w:rFonts w:ascii="Times New Roman" w:cs="Times New Roman" w:eastAsia="Times New Roman" w:hAnsi="Times New Roman"/>
          <w:color w:val="000000"/>
          <w:sz w:val="22"/>
          <w:szCs w:val="22"/>
          <w:vertAlign w:val="baseline"/>
        </w:rPr>
        <w:t xml:space="preserve">- la gestion des déchets.</w:t>
      </w:r>
    </w:p>
    <w:p w:rsidR="00000000" w:rsidDel="00000000" w:rsidP="00000000" w:rsidRDefault="00000000" w:rsidRPr="00000000">
      <w:pPr>
        <w:widowControl w:val="1"/>
        <w:spacing w:after="0" w:before="0" w:line="240" w:lineRule="auto"/>
        <w:ind w:left="0" w:right="0" w:firstLine="0"/>
        <w:contextualSpacing w:val="0"/>
        <w:jc w:val="both"/>
      </w:pPr>
      <w:r w:rsidDel="00000000" w:rsidR="00000000" w:rsidRPr="00000000">
        <w:rPr/>
      </w:r>
    </w:p>
    <w:p w:rsidR="00000000" w:rsidDel="00000000" w:rsidP="00000000" w:rsidRDefault="00000000" w:rsidRPr="00000000">
      <w:pPr>
        <w:widowControl w:val="1"/>
        <w:spacing w:after="0" w:before="0" w:line="240" w:lineRule="auto"/>
        <w:ind w:left="0" w:right="0" w:firstLine="0"/>
        <w:contextualSpacing w:val="0"/>
        <w:jc w:val="both"/>
      </w:pPr>
      <w:r w:rsidDel="00000000" w:rsidR="00000000" w:rsidRPr="00000000">
        <w:rPr>
          <w:rFonts w:ascii="Times New Roman" w:cs="Times New Roman" w:eastAsia="Times New Roman" w:hAnsi="Times New Roman"/>
          <w:color w:val="000000"/>
          <w:sz w:val="22"/>
          <w:szCs w:val="22"/>
          <w:vertAlign w:val="baseline"/>
        </w:rPr>
        <w:t xml:space="preserve">Dans ce contexte et dans le cadre de la labellisation de l'écoquartier, la Commune de Rueil-Malmaison souhaite notamment réaliser</w:t>
      </w:r>
      <w:r w:rsidDel="00000000" w:rsidR="00000000" w:rsidRPr="00000000">
        <w:rPr>
          <w:rFonts w:ascii="Times New Roman" w:cs="Times New Roman" w:eastAsia="Times New Roman" w:hAnsi="Times New Roman"/>
          <w:b w:val="1"/>
          <w:color w:val="000000"/>
          <w:sz w:val="22"/>
          <w:szCs w:val="22"/>
          <w:vertAlign w:val="baseline"/>
        </w:rPr>
        <w:t xml:space="preserve"> un réseau de chaleur,</w:t>
      </w:r>
      <w:r w:rsidDel="00000000" w:rsidR="00000000" w:rsidRPr="00000000">
        <w:rPr>
          <w:rFonts w:ascii="Times New Roman" w:cs="Times New Roman" w:eastAsia="Times New Roman" w:hAnsi="Times New Roman"/>
          <w:color w:val="000000"/>
          <w:sz w:val="22"/>
          <w:szCs w:val="22"/>
          <w:vertAlign w:val="baseline"/>
        </w:rPr>
        <w:t xml:space="preserve"> qui  se compose de trois éléments :</w:t>
      </w:r>
    </w:p>
    <w:p w:rsidR="00000000" w:rsidDel="00000000" w:rsidP="00000000" w:rsidRDefault="00000000" w:rsidRPr="00000000">
      <w:pPr>
        <w:spacing w:after="100" w:before="100" w:lineRule="auto"/>
        <w:ind w:left="568" w:hanging="161"/>
        <w:contextualSpacing w:val="0"/>
        <w:jc w:val="both"/>
      </w:pPr>
      <w:r w:rsidDel="00000000" w:rsidR="00000000" w:rsidRPr="00000000">
        <w:rPr>
          <w:sz w:val="22"/>
          <w:szCs w:val="22"/>
        </w:rPr>
        <w:t xml:space="preserve">- la</w:t>
      </w:r>
      <w:r w:rsidDel="00000000" w:rsidR="00000000" w:rsidRPr="00000000">
        <w:rPr>
          <w:b w:val="1"/>
          <w:sz w:val="22"/>
          <w:szCs w:val="22"/>
        </w:rPr>
        <w:t xml:space="preserve"> chaufferie,</w:t>
      </w:r>
      <w:r w:rsidDel="00000000" w:rsidR="00000000" w:rsidRPr="00000000">
        <w:rPr>
          <w:sz w:val="22"/>
          <w:szCs w:val="22"/>
        </w:rPr>
        <w:t xml:space="preserve"> lieu où est produite la chaleur qui circule dans le réseau,</w:t>
      </w:r>
    </w:p>
    <w:p w:rsidR="00000000" w:rsidDel="00000000" w:rsidP="00000000" w:rsidRDefault="00000000" w:rsidRPr="00000000">
      <w:pPr>
        <w:spacing w:after="100" w:before="100" w:lineRule="auto"/>
        <w:ind w:left="568" w:hanging="161"/>
        <w:contextualSpacing w:val="0"/>
        <w:jc w:val="both"/>
      </w:pPr>
      <w:r w:rsidDel="00000000" w:rsidR="00000000" w:rsidRPr="00000000">
        <w:rPr>
          <w:sz w:val="22"/>
          <w:szCs w:val="22"/>
        </w:rPr>
        <w:t xml:space="preserve">- les</w:t>
      </w:r>
      <w:r w:rsidDel="00000000" w:rsidR="00000000" w:rsidRPr="00000000">
        <w:rPr>
          <w:b w:val="1"/>
          <w:sz w:val="22"/>
          <w:szCs w:val="22"/>
        </w:rPr>
        <w:t xml:space="preserve"> canalisations de transport et distribution</w:t>
      </w:r>
      <w:r w:rsidDel="00000000" w:rsidR="00000000" w:rsidRPr="00000000">
        <w:rPr>
          <w:sz w:val="22"/>
          <w:szCs w:val="22"/>
        </w:rPr>
        <w:t xml:space="preserve"> : ce sont des conduites qui transportent la chaleur à l'aide d'un fluide caloporteur, très généralement de l'eau sous forme liquide, parfois sous forme de vapeur,</w:t>
      </w:r>
    </w:p>
    <w:p w:rsidR="00000000" w:rsidDel="00000000" w:rsidP="00000000" w:rsidRDefault="00000000" w:rsidRPr="00000000">
      <w:pPr>
        <w:spacing w:after="100" w:before="100" w:lineRule="auto"/>
        <w:ind w:left="568" w:hanging="161"/>
        <w:contextualSpacing w:val="0"/>
        <w:jc w:val="both"/>
      </w:pPr>
      <w:r w:rsidDel="00000000" w:rsidR="00000000" w:rsidRPr="00000000">
        <w:rPr>
          <w:sz w:val="22"/>
          <w:szCs w:val="22"/>
        </w:rPr>
        <w:t xml:space="preserve">- les</w:t>
      </w:r>
      <w:r w:rsidDel="00000000" w:rsidR="00000000" w:rsidRPr="00000000">
        <w:rPr>
          <w:b w:val="1"/>
          <w:sz w:val="22"/>
          <w:szCs w:val="22"/>
        </w:rPr>
        <w:t xml:space="preserve"> sous-stations</w:t>
      </w:r>
      <w:r w:rsidDel="00000000" w:rsidR="00000000" w:rsidRPr="00000000">
        <w:rPr>
          <w:sz w:val="22"/>
          <w:szCs w:val="22"/>
        </w:rPr>
        <w:t xml:space="preserve"> : il s'agit des points de livraison de la chaleur. Elles matérialisent l'interface entre le réseau de chaleur et le bâtiment.</w:t>
      </w:r>
    </w:p>
    <w:p w:rsidR="00000000" w:rsidDel="00000000" w:rsidP="00000000" w:rsidRDefault="00000000" w:rsidRPr="00000000">
      <w:pPr>
        <w:spacing w:after="100" w:before="100" w:lineRule="auto"/>
        <w:ind w:left="568" w:hanging="161"/>
        <w:contextualSpacing w:val="0"/>
        <w:jc w:val="both"/>
      </w:pPr>
      <w:r w:rsidDel="00000000" w:rsidR="00000000" w:rsidRPr="00000000">
        <w:rPr/>
      </w:r>
    </w:p>
    <w:p w:rsidR="00000000" w:rsidDel="00000000" w:rsidP="00000000" w:rsidRDefault="00000000" w:rsidRPr="00000000">
      <w:pPr>
        <w:widowControl w:val="1"/>
        <w:spacing w:after="0" w:before="0" w:line="240" w:lineRule="auto"/>
        <w:ind w:left="0" w:right="0" w:firstLine="0"/>
        <w:contextualSpacing w:val="0"/>
        <w:jc w:val="both"/>
      </w:pPr>
      <w:r w:rsidDel="00000000" w:rsidR="00000000" w:rsidRPr="00000000">
        <w:rPr>
          <w:rFonts w:ascii="Times New Roman" w:cs="Times New Roman" w:eastAsia="Times New Roman" w:hAnsi="Times New Roman"/>
          <w:color w:val="000000"/>
          <w:sz w:val="22"/>
          <w:szCs w:val="22"/>
          <w:vertAlign w:val="baseline"/>
        </w:rPr>
        <w:t xml:space="preserve">La loi Grenelle et la réglementation thermique imposent aux constructions de bâtiments le recours aux énergies renouvelables ou de solutions alternatives.</w:t>
      </w:r>
      <w:r w:rsidDel="00000000" w:rsidR="00000000" w:rsidRPr="00000000">
        <w:rPr>
          <w:rFonts w:ascii="Times New Roman" w:cs="Times New Roman" w:eastAsia="Times New Roman" w:hAnsi="Times New Roman"/>
          <w:b w:val="1"/>
          <w:color w:val="000000"/>
          <w:sz w:val="22"/>
          <w:szCs w:val="22"/>
          <w:vertAlign w:val="baseline"/>
        </w:rPr>
        <w:t xml:space="preserve"> Ainsi, le réseau de chaleur est une solution à condition d'être alimenté à plus de 50 % par des énergies renouvelables.</w:t>
      </w:r>
    </w:p>
    <w:p w:rsidR="00000000" w:rsidDel="00000000" w:rsidP="00000000" w:rsidRDefault="00000000" w:rsidRPr="00000000">
      <w:pPr>
        <w:widowControl w:val="1"/>
        <w:spacing w:after="0" w:before="0" w:line="240" w:lineRule="auto"/>
        <w:ind w:left="0" w:right="0" w:firstLine="0"/>
        <w:contextualSpacing w:val="0"/>
        <w:jc w:val="both"/>
      </w:pPr>
      <w:r w:rsidDel="00000000" w:rsidR="00000000" w:rsidRPr="00000000">
        <w:rPr/>
      </w:r>
    </w:p>
    <w:p w:rsidR="00000000" w:rsidDel="00000000" w:rsidP="00000000" w:rsidRDefault="00000000" w:rsidRPr="00000000">
      <w:pPr>
        <w:widowControl w:val="1"/>
        <w:spacing w:after="0" w:before="0" w:line="240" w:lineRule="auto"/>
        <w:ind w:left="0" w:right="0" w:firstLine="0"/>
        <w:contextualSpacing w:val="0"/>
        <w:jc w:val="both"/>
      </w:pPr>
      <w:r w:rsidDel="00000000" w:rsidR="00000000" w:rsidRPr="00000000">
        <w:rPr>
          <w:rFonts w:ascii="Times New Roman" w:cs="Times New Roman" w:eastAsia="Times New Roman" w:hAnsi="Times New Roman"/>
          <w:color w:val="000000"/>
          <w:sz w:val="22"/>
          <w:szCs w:val="22"/>
          <w:vertAlign w:val="baseline"/>
        </w:rPr>
        <w:t xml:space="preserve">En première approche, une puissance de 1 500 kW en énergies renouvelables permet de couvrir plus de 60 % des consommations énergétiques en énergie renouvelables (ENR) de l'écoquartier, estimées à 16,2 GWh/an en chauffage et eau chaude sanitaire.</w:t>
      </w:r>
    </w:p>
    <w:p w:rsidR="00000000" w:rsidDel="00000000" w:rsidP="00000000" w:rsidRDefault="00000000" w:rsidRPr="00000000">
      <w:pPr>
        <w:widowControl w:val="1"/>
        <w:spacing w:after="0" w:before="0" w:line="240" w:lineRule="auto"/>
        <w:ind w:left="0" w:right="0" w:firstLine="0"/>
        <w:contextualSpacing w:val="0"/>
        <w:jc w:val="both"/>
      </w:pPr>
      <w:r w:rsidDel="00000000" w:rsidR="00000000" w:rsidRPr="00000000">
        <w:rPr/>
      </w:r>
    </w:p>
    <w:p w:rsidR="00000000" w:rsidDel="00000000" w:rsidP="00000000" w:rsidRDefault="00000000" w:rsidRPr="00000000">
      <w:pPr>
        <w:widowControl w:val="1"/>
        <w:spacing w:after="0" w:before="0" w:line="240" w:lineRule="auto"/>
        <w:ind w:left="0" w:right="0" w:firstLine="0"/>
        <w:contextualSpacing w:val="0"/>
        <w:jc w:val="both"/>
      </w:pPr>
      <w:r w:rsidDel="00000000" w:rsidR="00000000" w:rsidRPr="00000000">
        <w:rPr>
          <w:rFonts w:ascii="Times New Roman" w:cs="Times New Roman" w:eastAsia="Times New Roman" w:hAnsi="Times New Roman"/>
          <w:color w:val="000000"/>
          <w:sz w:val="22"/>
          <w:szCs w:val="22"/>
          <w:vertAlign w:val="baseline"/>
        </w:rPr>
        <w:t xml:space="preserve">Les solutions envisageables pour répondre à cet objectif  sont :</w:t>
      </w:r>
    </w:p>
    <w:p w:rsidR="00000000" w:rsidDel="00000000" w:rsidP="00000000" w:rsidRDefault="00000000" w:rsidRPr="00000000">
      <w:pPr>
        <w:widowControl w:val="1"/>
        <w:numPr>
          <w:ilvl w:val="0"/>
          <w:numId w:val="3"/>
        </w:numPr>
        <w:spacing w:after="0" w:before="0" w:line="240" w:lineRule="auto"/>
        <w:ind w:left="720" w:right="0" w:hanging="360"/>
        <w:contextualSpacing w:val="1"/>
        <w:jc w:val="both"/>
      </w:pPr>
      <w:r w:rsidDel="00000000" w:rsidR="00000000" w:rsidRPr="00000000">
        <w:rPr>
          <w:rFonts w:ascii="Times New Roman" w:cs="Times New Roman" w:eastAsia="Times New Roman" w:hAnsi="Times New Roman"/>
          <w:color w:val="000000"/>
          <w:sz w:val="22"/>
          <w:szCs w:val="22"/>
          <w:vertAlign w:val="baseline"/>
        </w:rPr>
        <w:t xml:space="preserve">la production de chaleur par une</w:t>
      </w:r>
      <w:r w:rsidDel="00000000" w:rsidR="00000000" w:rsidRPr="00000000">
        <w:rPr>
          <w:rFonts w:ascii="Times New Roman" w:cs="Times New Roman" w:eastAsia="Times New Roman" w:hAnsi="Times New Roman"/>
          <w:b w:val="1"/>
          <w:color w:val="000000"/>
          <w:sz w:val="22"/>
          <w:szCs w:val="22"/>
          <w:vertAlign w:val="baseline"/>
        </w:rPr>
        <w:t xml:space="preserve"> chaufferie bois</w:t>
      </w:r>
      <w:r w:rsidDel="00000000" w:rsidR="00000000" w:rsidRPr="00000000">
        <w:rPr>
          <w:rFonts w:ascii="Times New Roman" w:cs="Times New Roman" w:eastAsia="Times New Roman" w:hAnsi="Times New Roman"/>
          <w:color w:val="000000"/>
          <w:sz w:val="22"/>
          <w:szCs w:val="22"/>
          <w:vertAlign w:val="baseline"/>
        </w:rPr>
        <w:t xml:space="preserve"> et une chaufferie appoint secours gaz,</w:t>
      </w:r>
    </w:p>
    <w:p w:rsidR="00000000" w:rsidDel="00000000" w:rsidP="00000000" w:rsidRDefault="00000000" w:rsidRPr="00000000">
      <w:pPr>
        <w:widowControl w:val="1"/>
        <w:numPr>
          <w:ilvl w:val="0"/>
          <w:numId w:val="3"/>
        </w:numPr>
        <w:spacing w:after="0" w:before="0" w:line="240" w:lineRule="auto"/>
        <w:ind w:left="720" w:right="0" w:hanging="360"/>
        <w:contextualSpacing w:val="1"/>
        <w:jc w:val="both"/>
      </w:pPr>
      <w:r w:rsidDel="00000000" w:rsidR="00000000" w:rsidRPr="00000000">
        <w:rPr>
          <w:rFonts w:ascii="Times New Roman" w:cs="Times New Roman" w:eastAsia="Times New Roman" w:hAnsi="Times New Roman"/>
          <w:color w:val="000000"/>
          <w:sz w:val="22"/>
          <w:szCs w:val="22"/>
          <w:vertAlign w:val="baseline"/>
        </w:rPr>
        <w:t xml:space="preserve">la production de chaleur par</w:t>
      </w:r>
      <w:r w:rsidDel="00000000" w:rsidR="00000000" w:rsidRPr="00000000">
        <w:rPr>
          <w:rFonts w:ascii="Times New Roman" w:cs="Times New Roman" w:eastAsia="Times New Roman" w:hAnsi="Times New Roman"/>
          <w:b w:val="1"/>
          <w:color w:val="000000"/>
          <w:sz w:val="22"/>
          <w:szCs w:val="22"/>
          <w:vertAlign w:val="baseline"/>
        </w:rPr>
        <w:t xml:space="preserve"> géothermie sur nappe superficielle</w:t>
      </w:r>
      <w:r w:rsidDel="00000000" w:rsidR="00000000" w:rsidRPr="00000000">
        <w:rPr>
          <w:rFonts w:ascii="Times New Roman" w:cs="Times New Roman" w:eastAsia="Times New Roman" w:hAnsi="Times New Roman"/>
          <w:color w:val="000000"/>
          <w:sz w:val="22"/>
          <w:szCs w:val="22"/>
          <w:vertAlign w:val="baseline"/>
        </w:rPr>
        <w:t xml:space="preserve"> (&lt;200m) à condition de pouvoir prélever une nappe avec un débit de l'ordre de 200 m3/h. Il est donc</w:t>
      </w:r>
      <w:r w:rsidDel="00000000" w:rsidR="00000000" w:rsidRPr="00000000">
        <w:rPr>
          <w:rFonts w:ascii="Times New Roman" w:cs="Times New Roman" w:eastAsia="Times New Roman" w:hAnsi="Times New Roman"/>
          <w:b w:val="1"/>
          <w:color w:val="000000"/>
          <w:sz w:val="22"/>
          <w:szCs w:val="22"/>
          <w:vertAlign w:val="baseline"/>
        </w:rPr>
        <w:t xml:space="preserve"> indispensable de réaliser un forage de reconnaissance à 100 mètres pour vérifier le débit exploitable.</w:t>
      </w:r>
    </w:p>
    <w:p w:rsidR="00000000" w:rsidDel="00000000" w:rsidP="00000000" w:rsidRDefault="00000000" w:rsidRPr="00000000">
      <w:pPr>
        <w:widowControl w:val="1"/>
        <w:spacing w:after="0" w:before="0" w:line="240" w:lineRule="auto"/>
        <w:ind w:left="0" w:right="0" w:firstLine="0"/>
        <w:contextualSpacing w:val="0"/>
        <w:jc w:val="both"/>
      </w:pPr>
      <w:r w:rsidDel="00000000" w:rsidR="00000000" w:rsidRPr="00000000">
        <w:rPr/>
      </w:r>
    </w:p>
    <w:p w:rsidR="00000000" w:rsidDel="00000000" w:rsidP="00000000" w:rsidRDefault="00000000" w:rsidRPr="00000000">
      <w:pPr>
        <w:widowControl w:val="1"/>
        <w:spacing w:after="0" w:before="0" w:line="240" w:lineRule="auto"/>
        <w:ind w:left="0" w:right="0" w:firstLine="0"/>
        <w:contextualSpacing w:val="0"/>
        <w:jc w:val="both"/>
      </w:pPr>
      <w:r w:rsidDel="00000000" w:rsidR="00000000" w:rsidRPr="00000000">
        <w:rPr>
          <w:rFonts w:ascii="Times New Roman" w:cs="Times New Roman" w:eastAsia="Times New Roman" w:hAnsi="Times New Roman"/>
          <w:b w:val="1"/>
          <w:color w:val="000000"/>
          <w:sz w:val="22"/>
          <w:szCs w:val="22"/>
          <w:vertAlign w:val="baseline"/>
        </w:rPr>
        <w:t xml:space="preserve">Les autres systèmes</w:t>
      </w:r>
      <w:r w:rsidDel="00000000" w:rsidR="00000000" w:rsidRPr="00000000">
        <w:rPr>
          <w:rFonts w:ascii="Times New Roman" w:cs="Times New Roman" w:eastAsia="Times New Roman" w:hAnsi="Times New Roman"/>
          <w:color w:val="000000"/>
          <w:sz w:val="22"/>
          <w:szCs w:val="22"/>
          <w:vertAlign w:val="baseline"/>
        </w:rPr>
        <w:t xml:space="preserve"> (géothermie par capteurs, géothermie profonde, solaire thermique, récupération sur eaux usées) ont fait l'objet d'une étude de faisabilité</w:t>
      </w:r>
      <w:r w:rsidDel="00000000" w:rsidR="00000000" w:rsidRPr="00000000">
        <w:rPr>
          <w:rFonts w:ascii="Times New Roman" w:cs="Times New Roman" w:eastAsia="Times New Roman" w:hAnsi="Times New Roman"/>
          <w:b w:val="1"/>
          <w:color w:val="000000"/>
          <w:sz w:val="22"/>
          <w:szCs w:val="22"/>
          <w:vertAlign w:val="baseline"/>
        </w:rPr>
        <w:t xml:space="preserve"> mais ne sont pas viables techniquement ou</w:t>
      </w:r>
      <w:r w:rsidDel="00000000" w:rsidR="00000000" w:rsidRPr="00000000">
        <w:rPr>
          <w:rFonts w:ascii="Times New Roman" w:cs="Times New Roman" w:eastAsia="Times New Roman" w:hAnsi="Times New Roman"/>
          <w:color w:val="000000"/>
          <w:sz w:val="22"/>
          <w:szCs w:val="22"/>
          <w:vertAlign w:val="baseline"/>
        </w:rPr>
        <w:t xml:space="preserve"> </w:t>
      </w:r>
      <w:r w:rsidDel="00000000" w:rsidR="00000000" w:rsidRPr="00000000">
        <w:rPr>
          <w:rFonts w:ascii="Times New Roman" w:cs="Times New Roman" w:eastAsia="Times New Roman" w:hAnsi="Times New Roman"/>
          <w:b w:val="1"/>
          <w:color w:val="000000"/>
          <w:sz w:val="22"/>
          <w:szCs w:val="22"/>
          <w:vertAlign w:val="baseline"/>
        </w:rPr>
        <w:t xml:space="preserve">économiquement.</w:t>
      </w:r>
    </w:p>
    <w:p w:rsidR="00000000" w:rsidDel="00000000" w:rsidP="00000000" w:rsidRDefault="00000000" w:rsidRPr="00000000">
      <w:pPr>
        <w:widowControl w:val="1"/>
        <w:spacing w:after="0" w:before="0" w:line="240" w:lineRule="auto"/>
        <w:ind w:left="0" w:right="0" w:firstLine="0"/>
        <w:contextualSpacing w:val="0"/>
        <w:jc w:val="both"/>
      </w:pPr>
      <w:r w:rsidDel="00000000" w:rsidR="00000000" w:rsidRPr="00000000">
        <w:rPr/>
      </w:r>
    </w:p>
    <w:p w:rsidR="00000000" w:rsidDel="00000000" w:rsidP="00000000" w:rsidRDefault="00000000" w:rsidRPr="00000000">
      <w:pPr>
        <w:widowControl w:val="1"/>
        <w:spacing w:after="0" w:before="0" w:line="240" w:lineRule="auto"/>
        <w:ind w:left="0" w:right="0" w:firstLine="0"/>
        <w:contextualSpacing w:val="0"/>
        <w:jc w:val="both"/>
      </w:pPr>
      <w:r w:rsidDel="00000000" w:rsidR="00000000" w:rsidRPr="00000000">
        <w:rPr>
          <w:rFonts w:ascii="Times New Roman" w:cs="Times New Roman" w:eastAsia="Times New Roman" w:hAnsi="Times New Roman"/>
          <w:color w:val="000000"/>
          <w:sz w:val="22"/>
          <w:szCs w:val="22"/>
          <w:vertAlign w:val="baseline"/>
        </w:rPr>
        <w:t xml:space="preserve">Les 2 solutions envisageables nécessitent un investissement évalué entre</w:t>
      </w:r>
      <w:r w:rsidDel="00000000" w:rsidR="00000000" w:rsidRPr="00000000">
        <w:rPr>
          <w:rFonts w:ascii="Times New Roman" w:cs="Times New Roman" w:eastAsia="Times New Roman" w:hAnsi="Times New Roman"/>
          <w:b w:val="1"/>
          <w:color w:val="000000"/>
          <w:sz w:val="22"/>
          <w:szCs w:val="22"/>
          <w:vertAlign w:val="baseline"/>
        </w:rPr>
        <w:t xml:space="preserve"> 5 et 7 M€ HT comprenant 2 km de réseau, 36 sous stations, soit une durée d'amortissement de 23 ans.</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b w:val="1"/>
          <w:u w:val="single"/>
        </w:rPr>
        <w:t xml:space="preserve">2- Motivation du choix d'un mode de gestion déléguée</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La Commune de Rueil-Malmaison dispose de 2 possibilités pour gérer l’équipement :</w:t>
      </w:r>
    </w:p>
    <w:p w:rsidR="00000000" w:rsidDel="00000000" w:rsidP="00000000" w:rsidRDefault="00000000" w:rsidRPr="00000000">
      <w:pPr>
        <w:ind w:firstLine="335"/>
        <w:contextualSpacing w:val="0"/>
        <w:jc w:val="both"/>
      </w:pPr>
      <w:r w:rsidDel="00000000" w:rsidR="00000000" w:rsidRPr="00000000">
        <w:rPr>
          <w:sz w:val="22"/>
          <w:szCs w:val="22"/>
        </w:rPr>
        <w:t xml:space="preserve">- la gestion directe en régie,</w:t>
      </w:r>
    </w:p>
    <w:p w:rsidR="00000000" w:rsidDel="00000000" w:rsidP="00000000" w:rsidRDefault="00000000" w:rsidRPr="00000000">
      <w:pPr>
        <w:ind w:firstLine="335"/>
        <w:contextualSpacing w:val="0"/>
        <w:jc w:val="both"/>
      </w:pPr>
      <w:r w:rsidDel="00000000" w:rsidR="00000000" w:rsidRPr="00000000">
        <w:rPr>
          <w:sz w:val="22"/>
          <w:szCs w:val="22"/>
        </w:rPr>
        <w:t xml:space="preserve">- la gestion déléguée, confiée à une entreprise.</w:t>
      </w:r>
    </w:p>
    <w:p w:rsidR="00000000" w:rsidDel="00000000" w:rsidP="00000000" w:rsidRDefault="00000000" w:rsidRPr="00000000">
      <w:pPr>
        <w:ind w:firstLine="335"/>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Une fois les installations construites, la</w:t>
      </w:r>
      <w:r w:rsidDel="00000000" w:rsidR="00000000" w:rsidRPr="00000000">
        <w:rPr>
          <w:b w:val="1"/>
          <w:sz w:val="22"/>
          <w:szCs w:val="22"/>
          <w:u w:val="single"/>
        </w:rPr>
        <w:t xml:space="preserve"> régie</w:t>
      </w:r>
      <w:r w:rsidDel="00000000" w:rsidR="00000000" w:rsidRPr="00000000">
        <w:rPr>
          <w:sz w:val="22"/>
          <w:szCs w:val="22"/>
        </w:rPr>
        <w:t xml:space="preserve"> consiste à exploiter directement le service en définissant ses propres règles de gestion et en assumant les moyens techniques, financiers et humains nécessaires à la gestion du service.</w:t>
      </w:r>
    </w:p>
    <w:p w:rsidR="00000000" w:rsidDel="00000000" w:rsidP="00000000" w:rsidRDefault="00000000" w:rsidRPr="00000000">
      <w:pPr>
        <w:contextualSpacing w:val="0"/>
        <w:jc w:val="both"/>
      </w:pPr>
      <w:r w:rsidDel="00000000" w:rsidR="00000000" w:rsidRPr="00000000">
        <w:rPr>
          <w:sz w:val="22"/>
          <w:szCs w:val="22"/>
        </w:rPr>
        <w:t xml:space="preserve">Ainsi, la Commune de Rueil-Malmaison a une maîtrise totale de l’exploitation du service, mais elle en assume également tous les risques.</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La</w:t>
      </w:r>
      <w:r w:rsidDel="00000000" w:rsidR="00000000" w:rsidRPr="00000000">
        <w:rPr>
          <w:b w:val="1"/>
          <w:sz w:val="22"/>
          <w:szCs w:val="22"/>
          <w:u w:val="single"/>
        </w:rPr>
        <w:t xml:space="preserve"> gestion déléguée</w:t>
      </w:r>
      <w:r w:rsidDel="00000000" w:rsidR="00000000" w:rsidRPr="00000000">
        <w:rPr>
          <w:sz w:val="22"/>
          <w:szCs w:val="22"/>
        </w:rPr>
        <w:t xml:space="preserve">, confiée à une entreprise, est un contrat par lequel la collectivité détermine les grands aspects de la politique publique qu’elle souhaite mettre en œuvre au travers d’un cahier des charges comportant notamment l’offre de service, le niveau de service, les tarifs. Elle peut en outre mettre à disposition du délégataire la totalité des biens nécessaires à l’exploitation ou lui demander de réaliser l'investissement de tout ou partie de ces biens.</w:t>
      </w:r>
    </w:p>
    <w:p w:rsidR="00000000" w:rsidDel="00000000" w:rsidP="00000000" w:rsidRDefault="00000000" w:rsidRPr="00000000">
      <w:pPr>
        <w:contextualSpacing w:val="0"/>
        <w:jc w:val="both"/>
      </w:pPr>
      <w:r w:rsidDel="00000000" w:rsidR="00000000" w:rsidRPr="00000000">
        <w:rPr>
          <w:sz w:val="22"/>
          <w:szCs w:val="22"/>
        </w:rPr>
        <w:t xml:space="preserve">Dans la mesure où l’autorité organisatrice confie à un tiers qualifié l’exploitation du service, sa rémunération est assurée par les usagers, et il</w:t>
      </w:r>
      <w:r w:rsidDel="00000000" w:rsidR="00000000" w:rsidRPr="00000000">
        <w:rPr>
          <w:b w:val="1"/>
          <w:sz w:val="22"/>
          <w:szCs w:val="22"/>
        </w:rPr>
        <w:t xml:space="preserve"> supporte le risque financier lié à l’exploitation du service.</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Compte-tenu des orientations stratégiques prises par la Commune de Rueil-Malmaison et des arguments décrits ci-après, le recours à la gestion déléguée, de type « délégation de service public » (DSP), dans laquelle la rémunération du délégataire est substantiellement assurée par les résultats de l’exploitation,</w:t>
      </w:r>
      <w:r w:rsidDel="00000000" w:rsidR="00000000" w:rsidRPr="00000000">
        <w:rPr>
          <w:b w:val="1"/>
          <w:sz w:val="22"/>
          <w:szCs w:val="22"/>
        </w:rPr>
        <w:t xml:space="preserve"> apparaît comme le mode de gestion le plus adapté et incontournable pour le service.</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b w:val="1"/>
          <w:sz w:val="22"/>
          <w:szCs w:val="22"/>
        </w:rPr>
        <w:t xml:space="preserve">Le choix d'une DSP pour le réseau de chaleur n'entraîne aucune modification sur l'organisation et le fonctionnement de l'activité du personnel communal mise en en place aux services techniques ni même à celle de l'ensemble des services.</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numPr>
          <w:ilvl w:val="0"/>
          <w:numId w:val="2"/>
        </w:numPr>
        <w:ind w:left="720" w:hanging="360"/>
        <w:contextualSpacing w:val="1"/>
        <w:jc w:val="both"/>
      </w:pPr>
      <w:r w:rsidDel="00000000" w:rsidR="00000000" w:rsidRPr="00000000">
        <w:rPr>
          <w:sz w:val="22"/>
          <w:szCs w:val="22"/>
          <w:u w:val="single"/>
        </w:rPr>
        <w:t xml:space="preserve">Sur le plan technique</w:t>
      </w:r>
    </w:p>
    <w:p w:rsidR="00000000" w:rsidDel="00000000" w:rsidP="00000000" w:rsidRDefault="00000000" w:rsidRPr="00000000">
      <w:pPr>
        <w:ind w:left="720" w:firstLine="0"/>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L’exploitation d’un réseau de chaleur correspond à une exploitation industrielle qui requiert un savoir-faire et une technicité que la Commune de Rueil-Malmaison n’a pas développés.</w:t>
      </w:r>
    </w:p>
    <w:p w:rsidR="00000000" w:rsidDel="00000000" w:rsidP="00000000" w:rsidRDefault="00000000" w:rsidRPr="00000000">
      <w:pPr>
        <w:contextualSpacing w:val="0"/>
        <w:jc w:val="both"/>
      </w:pPr>
      <w:r w:rsidDel="00000000" w:rsidR="00000000" w:rsidRPr="00000000">
        <w:rPr>
          <w:sz w:val="22"/>
          <w:szCs w:val="22"/>
        </w:rPr>
        <w:t xml:space="preserve">Dès lors, compte tenu de ces contraintes inhérentes à l’exploitation d’un réseau de chaleur, il apparaît souhaitable que la Commune fasse appel à un exploitant professionnel dans le cadre d’un mode de gestion permettant la réactivité nécessaire.</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numPr>
          <w:ilvl w:val="0"/>
          <w:numId w:val="1"/>
        </w:numPr>
        <w:ind w:left="720" w:hanging="360"/>
        <w:contextualSpacing w:val="1"/>
        <w:jc w:val="both"/>
      </w:pPr>
      <w:r w:rsidDel="00000000" w:rsidR="00000000" w:rsidRPr="00000000">
        <w:rPr>
          <w:sz w:val="22"/>
          <w:szCs w:val="22"/>
          <w:u w:val="single"/>
        </w:rPr>
        <w:t xml:space="preserve">Sur les plans juridique et financier</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Dans cette hypothèse de gestion déléguée, la gestion se fait aux risques et périls du délégataire qui doit supporter :</w:t>
      </w:r>
    </w:p>
    <w:p w:rsidR="00000000" w:rsidDel="00000000" w:rsidP="00000000" w:rsidRDefault="00000000" w:rsidRPr="00000000">
      <w:pPr>
        <w:ind w:firstLine="508"/>
        <w:contextualSpacing w:val="0"/>
        <w:jc w:val="both"/>
      </w:pPr>
      <w:r w:rsidDel="00000000" w:rsidR="00000000" w:rsidRPr="00000000">
        <w:rPr>
          <w:sz w:val="22"/>
          <w:szCs w:val="22"/>
        </w:rPr>
        <w:t xml:space="preserve">- l'aléa économique, tenant à l'évolution de l’activité,</w:t>
      </w:r>
    </w:p>
    <w:p w:rsidR="00000000" w:rsidDel="00000000" w:rsidP="00000000" w:rsidRDefault="00000000" w:rsidRPr="00000000">
      <w:pPr>
        <w:ind w:firstLine="508"/>
        <w:contextualSpacing w:val="0"/>
        <w:jc w:val="both"/>
      </w:pPr>
      <w:r w:rsidDel="00000000" w:rsidR="00000000" w:rsidRPr="00000000">
        <w:rPr>
          <w:sz w:val="22"/>
          <w:szCs w:val="22"/>
        </w:rPr>
        <w:t xml:space="preserve">- le financement des investissements nécessaires à son activité,</w:t>
      </w:r>
    </w:p>
    <w:p w:rsidR="00000000" w:rsidDel="00000000" w:rsidP="00000000" w:rsidRDefault="00000000" w:rsidRPr="00000000">
      <w:pPr>
        <w:ind w:firstLine="508"/>
        <w:contextualSpacing w:val="0"/>
        <w:jc w:val="both"/>
      </w:pPr>
      <w:r w:rsidDel="00000000" w:rsidR="00000000" w:rsidRPr="00000000">
        <w:rPr>
          <w:sz w:val="22"/>
          <w:szCs w:val="22"/>
        </w:rPr>
        <w:t xml:space="preserve">- l'aléa technique tenant à l'obligation de maintenir le bon fonctionnement continu de l’équipement,</w:t>
      </w:r>
    </w:p>
    <w:p w:rsidR="00000000" w:rsidDel="00000000" w:rsidP="00000000" w:rsidRDefault="00000000" w:rsidRPr="00000000">
      <w:pPr>
        <w:ind w:left="565" w:hanging="22.99999999999997"/>
        <w:contextualSpacing w:val="0"/>
        <w:jc w:val="both"/>
      </w:pPr>
      <w:r w:rsidDel="00000000" w:rsidR="00000000" w:rsidRPr="00000000">
        <w:rPr>
          <w:sz w:val="22"/>
          <w:szCs w:val="22"/>
        </w:rPr>
        <w:t xml:space="preserve">-la responsabilité des dommages causés, tant aux usagers qu'aux tiers, par le fonctionnement du service.</w:t>
      </w:r>
    </w:p>
    <w:p w:rsidR="00000000" w:rsidDel="00000000" w:rsidP="00000000" w:rsidRDefault="00000000" w:rsidRPr="00000000">
      <w:pPr>
        <w:ind w:firstLine="508"/>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Cette forte implication du gestionnaire est ainsi de nature à favoriser un haut niveau de qualité de service.</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Il faut souligner que la délégation de service public n’emporte pas le dessaisissement de la Commune de Rueil-Malmaison qui demeurera l’autorité organisatrice du service. La Ville restant maître de l’activité, le délégataire devra remettre périodiquement un compte-rendu technique et financier de l’activité.</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b w:val="1"/>
          <w:u w:val="single"/>
        </w:rPr>
        <w:t xml:space="preserve">3 – Caractéristiques de la future convention de délégation de service public :</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u w:val="single"/>
        </w:rPr>
        <w:t xml:space="preserve">3.1 L’économie générale de la convention</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Le délégataire sera responsable de la réalisation des installations, du fonctionnement du service, et de son exploitation.</w:t>
      </w:r>
    </w:p>
    <w:p w:rsidR="00000000" w:rsidDel="00000000" w:rsidP="00000000" w:rsidRDefault="00000000" w:rsidRPr="00000000">
      <w:pPr>
        <w:contextualSpacing w:val="0"/>
        <w:jc w:val="both"/>
      </w:pPr>
      <w:r w:rsidDel="00000000" w:rsidR="00000000" w:rsidRPr="00000000">
        <w:rPr>
          <w:sz w:val="22"/>
          <w:szCs w:val="22"/>
        </w:rPr>
        <w:t xml:space="preserve">Il sera également responsable de toutes les conséquences dommageables qui pourraient en résulter. À cet égard, il sera responsable à la fois au niveau contractuel et réglementaire de la qualité du service public et du bon fonctionnement des ouvrages qui lui auront été remis par la Commune de Rueil-Malmaison et de ceux qu’il construira.</w:t>
      </w:r>
    </w:p>
    <w:p w:rsidR="00000000" w:rsidDel="00000000" w:rsidP="00000000" w:rsidRDefault="00000000" w:rsidRPr="00000000">
      <w:pPr>
        <w:contextualSpacing w:val="0"/>
        <w:jc w:val="both"/>
      </w:pPr>
      <w:r w:rsidDel="00000000" w:rsidR="00000000" w:rsidRPr="00000000">
        <w:rPr>
          <w:sz w:val="22"/>
          <w:szCs w:val="22"/>
        </w:rPr>
        <w:t xml:space="preserve">La convention fixera les tarifs et autres prestations à assurer par le délégataire.</w:t>
      </w:r>
    </w:p>
    <w:p w:rsidR="00000000" w:rsidDel="00000000" w:rsidP="00000000" w:rsidRDefault="00000000" w:rsidRPr="00000000">
      <w:pPr>
        <w:contextualSpacing w:val="0"/>
        <w:jc w:val="both"/>
      </w:pPr>
      <w:r w:rsidDel="00000000" w:rsidR="00000000" w:rsidRPr="00000000">
        <w:rPr>
          <w:sz w:val="22"/>
          <w:szCs w:val="22"/>
        </w:rPr>
        <w:t xml:space="preserve">Le délégataire devra contracter l’ensemble des assurances lui permettant de couvrir les risques inhérents à l’activité.</w:t>
      </w:r>
    </w:p>
    <w:p w:rsidR="00000000" w:rsidDel="00000000" w:rsidP="00000000" w:rsidRDefault="00000000" w:rsidRPr="00000000">
      <w:pPr>
        <w:contextualSpacing w:val="0"/>
        <w:jc w:val="both"/>
      </w:pPr>
      <w:r w:rsidDel="00000000" w:rsidR="00000000" w:rsidRPr="00000000">
        <w:rPr>
          <w:sz w:val="22"/>
          <w:szCs w:val="22"/>
        </w:rPr>
        <w:t xml:space="preserve">La forme de cette délégation est la concession.</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u w:val="single"/>
        </w:rPr>
        <w:t xml:space="preserve">3.2 Caractéristiques administratives</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Les objectifs de la Commune de Rueil-Malmaison sont de confier à un opérateur économique, la conception, le financement et la réalisation des installations de production et de distribution d’énergie nécessaires à l’extension, ainsi que l’exploitation de ces installations.</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Compte tenu de l’ampleur des investissements,</w:t>
      </w:r>
      <w:r w:rsidDel="00000000" w:rsidR="00000000" w:rsidRPr="00000000">
        <w:rPr/>
        <w:t xml:space="preserve"> la durée prévisionnelle de la future délégation de service public sera de 23 ans maximum. Cette durée sera f</w:t>
      </w:r>
      <w:r w:rsidDel="00000000" w:rsidR="00000000" w:rsidRPr="00000000">
        <w:rPr>
          <w:sz w:val="22"/>
          <w:szCs w:val="22"/>
        </w:rPr>
        <w:t xml:space="preserve">ixée dans le contrat en fonction de l’évaluation du potentiel de raccordement et des investissements afférents à réaliser dans ce périmètre.</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Par ailleurs, afin notamment de veiller au respect de la qualité du service offert aux usagers, un contrôle de la Commune de Rueil-Malmaison sur l’exploitation du réseau par le délégataire sera prévu dans le contrat de délégation de service public, conformément à la réglementation en vigueur.</w:t>
      </w:r>
    </w:p>
    <w:p w:rsidR="00000000" w:rsidDel="00000000" w:rsidP="00000000" w:rsidRDefault="00000000" w:rsidRPr="00000000">
      <w:pPr>
        <w:contextualSpacing w:val="0"/>
        <w:jc w:val="both"/>
      </w:pPr>
      <w:r w:rsidDel="00000000" w:rsidR="00000000" w:rsidRPr="00000000">
        <w:rPr>
          <w:sz w:val="22"/>
          <w:szCs w:val="22"/>
        </w:rPr>
        <w:t xml:space="preserve">La Commune de Rueil-Malmaison restant maître de l’activité, le délégataire devra remettre périodiquement un compte-rendu technique et financier de l’activité.</w:t>
      </w:r>
    </w:p>
    <w:p w:rsidR="00000000" w:rsidDel="00000000" w:rsidP="00000000" w:rsidRDefault="00000000" w:rsidRPr="00000000">
      <w:pPr>
        <w:contextualSpacing w:val="0"/>
        <w:jc w:val="both"/>
      </w:pPr>
      <w:r w:rsidDel="00000000" w:rsidR="00000000" w:rsidRPr="00000000">
        <w:rPr>
          <w:sz w:val="22"/>
          <w:szCs w:val="22"/>
        </w:rPr>
        <w:t xml:space="preserve">La Commune de Rueil-Malmaison veillera en outre à ce que le contrat de délégation de service public contienne des clauses prévoyant l’application de sanctions contre le délégataire, si celui-ci n’exécute pas ses obligations.</w:t>
      </w:r>
    </w:p>
    <w:p w:rsidR="00000000" w:rsidDel="00000000" w:rsidP="00000000" w:rsidRDefault="00000000" w:rsidRPr="00000000">
      <w:pPr>
        <w:contextualSpacing w:val="0"/>
        <w:jc w:val="both"/>
      </w:pPr>
      <w:r w:rsidDel="00000000" w:rsidR="00000000" w:rsidRPr="00000000">
        <w:rPr>
          <w:sz w:val="22"/>
          <w:szCs w:val="22"/>
        </w:rPr>
        <w:t xml:space="preserve">Enfin, à l’expiration de la convention de délégation, l’ensemble des investissements et des biens de retour du service devient la propriété de la Commune.</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u w:val="single"/>
        </w:rPr>
        <w:t xml:space="preserve">3.3 Caractéristiques financières</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L’investissement financier comprendra la réalisation du réseau et des installations de chauffage nécessaires à l’approvisionnement énergétique, à la production et à la distribution d’énergie.</w:t>
      </w:r>
    </w:p>
    <w:p w:rsidR="00000000" w:rsidDel="00000000" w:rsidP="00000000" w:rsidRDefault="00000000" w:rsidRPr="00000000">
      <w:pPr>
        <w:contextualSpacing w:val="0"/>
        <w:jc w:val="both"/>
      </w:pPr>
      <w:r w:rsidDel="00000000" w:rsidR="00000000" w:rsidRPr="00000000">
        <w:rPr>
          <w:sz w:val="22"/>
          <w:szCs w:val="22"/>
        </w:rPr>
        <w:t xml:space="preserve">Le délégataire réalisera, sous sa propre maîtrise d’ouvrage et à ses frais, les travaux de construction des équipements nécessaires.</w:t>
      </w:r>
    </w:p>
    <w:p w:rsidR="00000000" w:rsidDel="00000000" w:rsidP="00000000" w:rsidRDefault="00000000" w:rsidRPr="00000000">
      <w:pPr>
        <w:contextualSpacing w:val="0"/>
        <w:jc w:val="both"/>
      </w:pPr>
      <w:r w:rsidDel="00000000" w:rsidR="00000000" w:rsidRPr="00000000">
        <w:rPr>
          <w:sz w:val="22"/>
          <w:szCs w:val="22"/>
        </w:rPr>
        <w:t xml:space="preserve">Le délégataire prendra en charge les dépenses d’énergie nécessaires au fonctionnement des installations.</w:t>
      </w:r>
    </w:p>
    <w:p w:rsidR="00000000" w:rsidDel="00000000" w:rsidP="00000000" w:rsidRDefault="00000000" w:rsidRPr="00000000">
      <w:pPr>
        <w:contextualSpacing w:val="0"/>
        <w:jc w:val="both"/>
      </w:pPr>
      <w:r w:rsidDel="00000000" w:rsidR="00000000" w:rsidRPr="00000000">
        <w:rPr>
          <w:sz w:val="22"/>
          <w:szCs w:val="22"/>
        </w:rPr>
        <w:t xml:space="preserve">La rémunération du délégataire sera substantiellement liée aux résultats de l'exploitation, à partir des recettes provenant de l’exploitation du service public relatif au réseau de chaleur. À ce titre, le délégataire sera autorisé à percevoir des recettes auprès des usagers.</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u w:val="single"/>
        </w:rPr>
        <w:t xml:space="preserve">3.4 Caractéristiques techniques</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Le délégataire assurera notamment :</w:t>
      </w:r>
    </w:p>
    <w:p w:rsidR="00000000" w:rsidDel="00000000" w:rsidP="00000000" w:rsidRDefault="00000000" w:rsidRPr="00000000">
      <w:pPr>
        <w:ind w:firstLine="438"/>
        <w:contextualSpacing w:val="0"/>
        <w:jc w:val="both"/>
      </w:pPr>
      <w:r w:rsidDel="00000000" w:rsidR="00000000" w:rsidRPr="00000000">
        <w:rPr>
          <w:sz w:val="22"/>
          <w:szCs w:val="22"/>
        </w:rPr>
        <w:t xml:space="preserve">- la construction et le financement des unités de production de chaleur nécessaires,</w:t>
      </w:r>
    </w:p>
    <w:p w:rsidR="00000000" w:rsidDel="00000000" w:rsidP="00000000" w:rsidRDefault="00000000" w:rsidRPr="00000000">
      <w:pPr>
        <w:ind w:firstLine="438"/>
        <w:contextualSpacing w:val="0"/>
        <w:jc w:val="both"/>
      </w:pPr>
      <w:r w:rsidDel="00000000" w:rsidR="00000000" w:rsidRPr="00000000">
        <w:rPr>
          <w:sz w:val="22"/>
          <w:szCs w:val="22"/>
        </w:rPr>
        <w:t xml:space="preserve">- la construction et le financement du réseau de distribution de chaleur jusqu’aux points de livraison,</w:t>
      </w:r>
    </w:p>
    <w:p w:rsidR="00000000" w:rsidDel="00000000" w:rsidP="00000000" w:rsidRDefault="00000000" w:rsidRPr="00000000">
      <w:pPr>
        <w:ind w:firstLine="438"/>
        <w:contextualSpacing w:val="0"/>
        <w:jc w:val="both"/>
      </w:pPr>
      <w:r w:rsidDel="00000000" w:rsidR="00000000" w:rsidRPr="00000000">
        <w:rPr>
          <w:sz w:val="22"/>
          <w:szCs w:val="22"/>
        </w:rPr>
        <w:t xml:space="preserve">- l’exploitation et l’entretien des installations,</w:t>
      </w:r>
    </w:p>
    <w:p w:rsidR="00000000" w:rsidDel="00000000" w:rsidP="00000000" w:rsidRDefault="00000000" w:rsidRPr="00000000">
      <w:pPr>
        <w:ind w:firstLine="438"/>
        <w:contextualSpacing w:val="0"/>
        <w:jc w:val="both"/>
      </w:pPr>
      <w:r w:rsidDel="00000000" w:rsidR="00000000" w:rsidRPr="00000000">
        <w:rPr>
          <w:sz w:val="22"/>
          <w:szCs w:val="22"/>
        </w:rPr>
        <w:t xml:space="preserve">- la gestion des relations avec les abonnés,</w:t>
      </w:r>
    </w:p>
    <w:p w:rsidR="00000000" w:rsidDel="00000000" w:rsidP="00000000" w:rsidRDefault="00000000" w:rsidRPr="00000000">
      <w:pPr>
        <w:ind w:firstLine="438"/>
        <w:contextualSpacing w:val="0"/>
        <w:jc w:val="both"/>
      </w:pPr>
      <w:r w:rsidDel="00000000" w:rsidR="00000000" w:rsidRPr="00000000">
        <w:rPr>
          <w:sz w:val="22"/>
          <w:szCs w:val="22"/>
        </w:rPr>
        <w:t xml:space="preserve">- la perception des redevances correspondantes auprès des abonnés.</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u w:val="single"/>
        </w:rPr>
        <w:t xml:space="preserve">Périmètre</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Le périmètre prévisionnel de la délégation sera le périmètre opérationnel de l'écoquartier éventuellement étendu.</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u w:val="single"/>
        </w:rPr>
        <w:t xml:space="preserve">3.5 Investissements à réaliser par le délégataire</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Le délégataire supportera les investissements.</w:t>
      </w:r>
    </w:p>
    <w:p w:rsidR="00000000" w:rsidDel="00000000" w:rsidP="00000000" w:rsidRDefault="00000000" w:rsidRPr="00000000">
      <w:pPr>
        <w:contextualSpacing w:val="0"/>
        <w:jc w:val="both"/>
      </w:pPr>
      <w:r w:rsidDel="00000000" w:rsidR="00000000" w:rsidRPr="00000000">
        <w:rPr>
          <w:sz w:val="22"/>
          <w:szCs w:val="22"/>
        </w:rPr>
        <w:t xml:space="preserve">De plus, l’ensemble des matériels mobiliers, liés notamment à l’exploitation, sera à la charge du délégataire.</w:t>
      </w:r>
    </w:p>
    <w:p w:rsidR="00000000" w:rsidDel="00000000" w:rsidP="00000000" w:rsidRDefault="00000000" w:rsidRPr="00000000">
      <w:pPr>
        <w:contextualSpacing w:val="0"/>
        <w:jc w:val="both"/>
      </w:pPr>
      <w:r w:rsidDel="00000000" w:rsidR="00000000" w:rsidRPr="00000000">
        <w:rPr>
          <w:sz w:val="22"/>
          <w:szCs w:val="22"/>
        </w:rPr>
        <w:t xml:space="preserve">Par ailleurs, le délégataire prendra à sa charge tous les travaux d’entretien et de maintenance des installations.</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b w:val="1"/>
          <w:u w:val="single"/>
        </w:rPr>
        <w:t xml:space="preserve">4- Procédure</w:t>
      </w:r>
    </w:p>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jc w:val="both"/>
      </w:pPr>
      <w:r w:rsidDel="00000000" w:rsidR="00000000" w:rsidRPr="00000000">
        <w:rPr>
          <w:sz w:val="22"/>
          <w:szCs w:val="22"/>
        </w:rPr>
        <w:t xml:space="preserve">Si le choix de la DSP est retenu, la procédure peut de dérouler de la manière suivante :</w:t>
      </w:r>
    </w:p>
    <w:p w:rsidR="00000000" w:rsidDel="00000000" w:rsidP="00000000" w:rsidRDefault="00000000" w:rsidRPr="00000000">
      <w:pPr>
        <w:contextualSpacing w:val="0"/>
        <w:jc w:val="both"/>
      </w:pPr>
      <w:r w:rsidDel="00000000" w:rsidR="00000000" w:rsidRPr="00000000">
        <w:rPr/>
      </w:r>
    </w:p>
    <w:tbl>
      <w:tblPr>
        <w:tblStyle w:val="Table1"/>
        <w:bidi w:val="0"/>
        <w:tblW w:w="9212.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5777"/>
        <w:gridCol w:w="3435"/>
        <w:tblGridChange w:id="0">
          <w:tblGrid>
            <w:gridCol w:w="5777"/>
            <w:gridCol w:w="3435"/>
          </w:tblGrid>
        </w:tblGridChange>
      </w:tblGrid>
      <w:tr>
        <w:tc>
          <w:tcPr>
            <w:tcMar>
              <w:left w:w="108.0" w:type="dxa"/>
              <w:right w:w="108.0" w:type="dxa"/>
            </w:tcMar>
          </w:tcPr>
          <w:p w:rsidR="00000000" w:rsidDel="00000000" w:rsidP="00000000" w:rsidRDefault="00000000" w:rsidRPr="00000000">
            <w:pPr>
              <w:spacing w:before="60" w:lineRule="auto"/>
              <w:contextualSpacing w:val="0"/>
              <w:jc w:val="center"/>
            </w:pPr>
            <w:r w:rsidDel="00000000" w:rsidR="00000000" w:rsidRPr="00000000">
              <w:rPr/>
            </w:r>
          </w:p>
        </w:tc>
        <w:tc>
          <w:tcPr>
            <w:tcMar>
              <w:left w:w="108.0" w:type="dxa"/>
              <w:right w:w="108.0" w:type="dxa"/>
            </w:tcMa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b w:val="1"/>
                <w:sz w:val="22"/>
                <w:szCs w:val="22"/>
              </w:rPr>
              <w:t xml:space="preserve">Planning prévisionnel</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Délibération de saisine de la CCSPL</w:t>
            </w:r>
          </w:p>
        </w:tc>
        <w:tc>
          <w:tcPr>
            <w:tcMar>
              <w:left w:w="108.0" w:type="dxa"/>
              <w:right w:w="108.0" w:type="dxa"/>
            </w:tcMa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CM 1</w:t>
            </w:r>
            <w:r w:rsidDel="00000000" w:rsidR="00000000" w:rsidRPr="00000000">
              <w:rPr>
                <w:rFonts w:ascii="Calibri" w:cs="Calibri" w:eastAsia="Calibri" w:hAnsi="Calibri"/>
                <w:sz w:val="22"/>
                <w:szCs w:val="22"/>
                <w:vertAlign w:val="superscript"/>
              </w:rPr>
              <w:t xml:space="preserve">er</w:t>
            </w:r>
            <w:r w:rsidDel="00000000" w:rsidR="00000000" w:rsidRPr="00000000">
              <w:rPr>
                <w:rFonts w:ascii="Calibri" w:cs="Calibri" w:eastAsia="Calibri" w:hAnsi="Calibri"/>
                <w:sz w:val="22"/>
                <w:szCs w:val="22"/>
              </w:rPr>
              <w:t xml:space="preserve"> juin 2015</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Avis préalable du Comité Technique</w:t>
            </w:r>
          </w:p>
        </w:tc>
        <w:tc>
          <w:tcPr>
            <w:tcMar>
              <w:left w:w="108.0" w:type="dxa"/>
              <w:right w:w="108.0" w:type="dxa"/>
            </w:tcMa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Jeudi 11 juin 2015</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Avis préalable de la Commission des services publics locaux</w:t>
            </w:r>
          </w:p>
        </w:tc>
        <w:tc>
          <w:tcPr>
            <w:tcMar>
              <w:left w:w="108.0" w:type="dxa"/>
              <w:right w:w="108.0" w:type="dxa"/>
            </w:tcMa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15/06/15</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Conseil municipal : délibération approuvant principe recours à une DSP au vu d’un rapport présentant le document contenant les caractéristiques techniques (projet de dossier de consultation)</w:t>
            </w:r>
          </w:p>
        </w:tc>
        <w:tc>
          <w:tcPr>
            <w:tcMar>
              <w:left w:w="108.0" w:type="dxa"/>
              <w:right w:w="108.0" w:type="dxa"/>
            </w:tcMar>
            <w:vAlign w:val="cente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CM 9 juillet 2015</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Envoi Publicité</w:t>
            </w:r>
          </w:p>
        </w:tc>
        <w:tc>
          <w:tcPr>
            <w:tcMar>
              <w:left w:w="108.0" w:type="dxa"/>
              <w:right w:w="108.0" w:type="dxa"/>
            </w:tcMa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mi-juillet 2015</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Transmission aux candidats ayant retiré un DCE des résultats du forage de reconnaissance (mini 1 mois avant la date de remise des offres)</w:t>
            </w:r>
          </w:p>
        </w:tc>
        <w:tc>
          <w:tcPr>
            <w:tcMar>
              <w:left w:w="108.0" w:type="dxa"/>
              <w:right w:w="108.0" w:type="dxa"/>
            </w:tcMar>
            <w:vAlign w:val="cente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Début octobre 2015</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Date limite de réception des candidatures et des offres –</w:t>
            </w:r>
            <w:r w:rsidDel="00000000" w:rsidR="00000000" w:rsidRPr="00000000">
              <w:rPr>
                <w:rFonts w:ascii="Calibri" w:cs="Calibri" w:eastAsia="Calibri" w:hAnsi="Calibri"/>
                <w:b w:val="1"/>
                <w:sz w:val="22"/>
                <w:szCs w:val="22"/>
              </w:rPr>
              <w:t xml:space="preserve"> CPDSP Ouverture candidatures</w:t>
            </w:r>
          </w:p>
        </w:tc>
        <w:tc>
          <w:tcPr>
            <w:tcMar>
              <w:left w:w="108.0" w:type="dxa"/>
              <w:right w:w="108.0" w:type="dxa"/>
            </w:tcMar>
            <w:vAlign w:val="cente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Début novembre 2015</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Analyse des candidatures (1 semaine)</w:t>
            </w:r>
          </w:p>
        </w:tc>
        <w:tc>
          <w:tcPr>
            <w:tcMar>
              <w:left w:w="108.0" w:type="dxa"/>
              <w:right w:w="108.0" w:type="dxa"/>
            </w:tcMar>
          </w:tcPr>
          <w:p w:rsidR="00000000" w:rsidDel="00000000" w:rsidP="00000000" w:rsidRDefault="00000000" w:rsidRPr="00000000">
            <w:pPr>
              <w:spacing w:before="60" w:lineRule="auto"/>
              <w:contextualSpacing w:val="0"/>
              <w:jc w:val="center"/>
            </w:pPr>
            <w:r w:rsidDel="00000000" w:rsidR="00000000" w:rsidRPr="00000000">
              <w:rPr/>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b w:val="1"/>
                <w:sz w:val="22"/>
                <w:szCs w:val="22"/>
              </w:rPr>
              <w:t xml:space="preserve">CPDSP Agrément candidats</w:t>
            </w:r>
            <w:r w:rsidDel="00000000" w:rsidR="00000000" w:rsidRPr="00000000">
              <w:rPr>
                <w:rFonts w:ascii="Calibri" w:cs="Calibri" w:eastAsia="Calibri" w:hAnsi="Calibri"/>
                <w:sz w:val="22"/>
                <w:szCs w:val="22"/>
              </w:rPr>
              <w:t xml:space="preserve"> – Commission des DSP pour examen des candidatures et établissement de la liste des candidats admis à présenter une offre +</w:t>
            </w:r>
            <w:r w:rsidDel="00000000" w:rsidR="00000000" w:rsidRPr="00000000">
              <w:rPr>
                <w:rFonts w:ascii="Calibri" w:cs="Calibri" w:eastAsia="Calibri" w:hAnsi="Calibri"/>
                <w:b w:val="1"/>
                <w:sz w:val="22"/>
                <w:szCs w:val="22"/>
              </w:rPr>
              <w:t xml:space="preserve"> ouverture offre</w:t>
            </w:r>
          </w:p>
        </w:tc>
        <w:tc>
          <w:tcPr>
            <w:tcMar>
              <w:left w:w="108.0" w:type="dxa"/>
              <w:right w:w="108.0" w:type="dxa"/>
            </w:tcMar>
            <w:vAlign w:val="cente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mi-novembre 2015</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Analyse des offres (3 semaines)</w:t>
            </w:r>
          </w:p>
        </w:tc>
        <w:tc>
          <w:tcPr>
            <w:tcMar>
              <w:left w:w="108.0" w:type="dxa"/>
              <w:right w:w="108.0" w:type="dxa"/>
            </w:tcMar>
            <w:vAlign w:val="center"/>
          </w:tcPr>
          <w:p w:rsidR="00000000" w:rsidDel="00000000" w:rsidP="00000000" w:rsidRDefault="00000000" w:rsidRPr="00000000">
            <w:pPr>
              <w:spacing w:before="60" w:lineRule="auto"/>
              <w:contextualSpacing w:val="0"/>
              <w:jc w:val="center"/>
            </w:pPr>
            <w:r w:rsidDel="00000000" w:rsidR="00000000" w:rsidRPr="00000000">
              <w:rPr/>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CPDSP pour examen et émission d’un avis sur le classement de celles-ci +</w:t>
            </w:r>
            <w:r w:rsidDel="00000000" w:rsidR="00000000" w:rsidRPr="00000000">
              <w:rPr>
                <w:rFonts w:ascii="Calibri" w:cs="Calibri" w:eastAsia="Calibri" w:hAnsi="Calibri"/>
                <w:b w:val="1"/>
                <w:sz w:val="22"/>
                <w:szCs w:val="22"/>
              </w:rPr>
              <w:t xml:space="preserve"> autorisation de négocier</w:t>
            </w:r>
          </w:p>
        </w:tc>
        <w:tc>
          <w:tcPr>
            <w:tcMar>
              <w:left w:w="108.0" w:type="dxa"/>
              <w:right w:w="108.0" w:type="dxa"/>
            </w:tcMar>
            <w:vAlign w:val="cente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Début décembre 2015</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Négociations des offres (tours de négociation, analyse offre intermédiaire, remise offre finale, analyse des offres finales) (2 mois)</w:t>
            </w:r>
          </w:p>
        </w:tc>
        <w:tc>
          <w:tcPr>
            <w:tcMar>
              <w:left w:w="108.0" w:type="dxa"/>
              <w:right w:w="108.0" w:type="dxa"/>
            </w:tcMar>
            <w:vAlign w:val="cente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mi-décembre à début février 2016</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Choix du délégataire par le Maire</w:t>
            </w:r>
          </w:p>
        </w:tc>
        <w:tc>
          <w:tcPr>
            <w:tcMar>
              <w:left w:w="108.0" w:type="dxa"/>
              <w:right w:w="108.0" w:type="dxa"/>
            </w:tcMar>
            <w:vAlign w:val="cente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2</w:t>
            </w:r>
            <w:r w:rsidDel="00000000" w:rsidR="00000000" w:rsidRPr="00000000">
              <w:rPr>
                <w:rFonts w:ascii="Calibri" w:cs="Calibri" w:eastAsia="Calibri" w:hAnsi="Calibri"/>
                <w:sz w:val="22"/>
                <w:szCs w:val="22"/>
                <w:vertAlign w:val="superscript"/>
              </w:rPr>
              <w:t xml:space="preserve">ème</w:t>
            </w:r>
            <w:r w:rsidDel="00000000" w:rsidR="00000000" w:rsidRPr="00000000">
              <w:rPr>
                <w:rFonts w:ascii="Calibri" w:cs="Calibri" w:eastAsia="Calibri" w:hAnsi="Calibri"/>
                <w:sz w:val="22"/>
                <w:szCs w:val="22"/>
              </w:rPr>
              <w:t xml:space="preserve"> quinzaine de février 2016</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Transmission du rapport aux membres du Conseil Municipal (15 jours mini avant date du conseil)</w:t>
            </w:r>
          </w:p>
        </w:tc>
        <w:tc>
          <w:tcPr>
            <w:tcMar>
              <w:left w:w="108.0" w:type="dxa"/>
              <w:right w:w="108.0" w:type="dxa"/>
            </w:tcMar>
            <w:vAlign w:val="center"/>
          </w:tcPr>
          <w:p w:rsidR="00000000" w:rsidDel="00000000" w:rsidP="00000000" w:rsidRDefault="00000000" w:rsidRPr="00000000">
            <w:pPr>
              <w:spacing w:before="60" w:lineRule="auto"/>
              <w:contextualSpacing w:val="0"/>
              <w:jc w:val="center"/>
            </w:pPr>
            <w:r w:rsidDel="00000000" w:rsidR="00000000" w:rsidRPr="00000000">
              <w:rPr/>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Conseil Municipal : délibération approuvant le choix du délégataire (mini 2 mois après CPDSP ouverture des offres)</w:t>
            </w:r>
          </w:p>
        </w:tc>
        <w:tc>
          <w:tcPr>
            <w:tcMar>
              <w:left w:w="108.0" w:type="dxa"/>
              <w:right w:w="108.0" w:type="dxa"/>
            </w:tcMar>
            <w:vAlign w:val="cente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CM fin mars 2016</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Informations candidats rejetés / candidat retenu</w:t>
            </w:r>
          </w:p>
        </w:tc>
        <w:tc>
          <w:tcPr>
            <w:tcMar>
              <w:left w:w="108.0" w:type="dxa"/>
              <w:right w:w="108.0" w:type="dxa"/>
            </w:tcMa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Avril 2016</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Signature du contrat – transmission au contrôle de légalité</w:t>
            </w:r>
          </w:p>
        </w:tc>
        <w:tc>
          <w:tcPr>
            <w:tcMar>
              <w:left w:w="108.0" w:type="dxa"/>
              <w:right w:w="108.0" w:type="dxa"/>
            </w:tcMa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Avril 2016</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Notification du contrat</w:t>
            </w:r>
          </w:p>
        </w:tc>
        <w:tc>
          <w:tcPr>
            <w:tcMar>
              <w:left w:w="108.0" w:type="dxa"/>
              <w:right w:w="108.0" w:type="dxa"/>
            </w:tcMa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Avril 2016</w:t>
            </w:r>
          </w:p>
        </w:tc>
      </w:tr>
      <w:tr>
        <w:tc>
          <w:tcPr>
            <w:tcMar>
              <w:left w:w="108.0" w:type="dxa"/>
              <w:right w:w="108.0" w:type="dxa"/>
            </w:tcMar>
          </w:tcPr>
          <w:p w:rsidR="00000000" w:rsidDel="00000000" w:rsidP="00000000" w:rsidRDefault="00000000" w:rsidRPr="00000000">
            <w:pPr>
              <w:spacing w:before="60" w:lineRule="auto"/>
              <w:contextualSpacing w:val="0"/>
            </w:pPr>
            <w:r w:rsidDel="00000000" w:rsidR="00000000" w:rsidRPr="00000000">
              <w:rPr>
                <w:rFonts w:ascii="Calibri" w:cs="Calibri" w:eastAsia="Calibri" w:hAnsi="Calibri"/>
                <w:sz w:val="22"/>
                <w:szCs w:val="22"/>
              </w:rPr>
              <w:t xml:space="preserve">Copie Notification à la Préfecture</w:t>
            </w:r>
          </w:p>
        </w:tc>
        <w:tc>
          <w:tcPr>
            <w:tcMar>
              <w:left w:w="108.0" w:type="dxa"/>
              <w:right w:w="108.0" w:type="dxa"/>
            </w:tcMar>
          </w:tcPr>
          <w:p w:rsidR="00000000" w:rsidDel="00000000" w:rsidP="00000000" w:rsidRDefault="00000000" w:rsidRPr="00000000">
            <w:pPr>
              <w:spacing w:before="60" w:lineRule="auto"/>
              <w:contextualSpacing w:val="0"/>
              <w:jc w:val="center"/>
            </w:pPr>
            <w:r w:rsidDel="00000000" w:rsidR="00000000" w:rsidRPr="00000000">
              <w:rPr>
                <w:rFonts w:ascii="Calibri" w:cs="Calibri" w:eastAsia="Calibri" w:hAnsi="Calibri"/>
                <w:sz w:val="22"/>
                <w:szCs w:val="22"/>
              </w:rPr>
              <w:t xml:space="preserve">Avril 2016</w:t>
            </w:r>
          </w:p>
        </w:tc>
      </w:tr>
    </w:tbl>
    <w:p w:rsidR="00000000" w:rsidDel="00000000" w:rsidP="00000000" w:rsidRDefault="00000000" w:rsidRPr="00000000">
      <w:pPr>
        <w:contextualSpacing w:val="0"/>
        <w:jc w:val="both"/>
      </w:pPr>
      <w:r w:rsidDel="00000000" w:rsidR="00000000" w:rsidRPr="00000000">
        <w:rPr/>
      </w:r>
    </w:p>
    <w:p w:rsidR="00000000" w:rsidDel="00000000" w:rsidP="00000000" w:rsidRDefault="00000000" w:rsidRPr="00000000">
      <w:pPr>
        <w:contextualSpacing w:val="0"/>
      </w:pPr>
      <w:r w:rsidDel="00000000" w:rsidR="00000000" w:rsidRPr="00000000">
        <w:rPr/>
      </w:r>
    </w:p>
    <w:sectPr>
      <w:footerReference r:id="rId5" w:type="default"/>
      <w:pgSz w:h="16838" w:w="11906"/>
      <w:pgMar w:bottom="847" w:top="1134" w:left="1134" w:right="1065"/>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Arial"/>
  <w:font w:name="Calibri"/>
  <w:font w:name="Verdana"/>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widowControl w:val="1"/>
      <w:spacing w:after="0" w:before="0" w:line="240" w:lineRule="auto"/>
      <w:ind w:left="0" w:right="0" w:firstLine="0"/>
      <w:contextualSpacing w:val="0"/>
      <w:jc w:val="left"/>
    </w:pPr>
    <w:r w:rsidDel="00000000" w:rsidR="00000000" w:rsidRPr="00000000">
      <w:rPr>
        <w:rFonts w:ascii="Times New Roman" w:cs="Times New Roman" w:eastAsia="Times New Roman" w:hAnsi="Times New Roman"/>
        <w:color w:val="000000"/>
        <w:sz w:val="20"/>
        <w:szCs w:val="20"/>
        <w:vertAlign w:val="baseline"/>
      </w:rPr>
      <w:t xml:space="preserve">DSP - réseau de chaleur -  écoquartier l'Arsenal – 29 mai 2015</w:t>
      <w:tab/>
      <w:tab/>
      <w:t xml:space="preserve"> page </w:t>
    </w:r>
    <w:fldSimple w:instr="PAGE" w:fldLock="0" w:dirty="0">
      <w:r w:rsidDel="00000000" w:rsidR="00000000" w:rsidRPr="00000000">
        <w:rPr>
          <w:rFonts w:ascii="Times New Roman" w:cs="Times New Roman" w:eastAsia="Times New Roman" w:hAnsi="Times New Roman"/>
          <w:color w:val="000000"/>
          <w:sz w:val="20"/>
          <w:szCs w:val="20"/>
          <w:vertAlign w:val="baseline"/>
        </w:rPr>
      </w:r>
    </w:fldSimple>
    <w:r w:rsidDel="00000000" w:rsidR="00000000" w:rsidRPr="00000000">
      <w:rPr>
        <w:rFonts w:ascii="Times New Roman" w:cs="Times New Roman" w:eastAsia="Times New Roman" w:hAnsi="Times New Roman"/>
        <w:color w:val="000000"/>
        <w:sz w:val="20"/>
        <w:szCs w:val="20"/>
        <w:vertAlign w:val="baseline"/>
      </w:rPr>
      <w:t xml:space="preserve"> sur </w:t>
    </w:r>
    <w:fldSimple w:instr="NUMPAGES" w:fldLock="0" w:dirty="0">
      <w:r w:rsidDel="00000000" w:rsidR="00000000" w:rsidRPr="00000000">
        <w:rPr>
          <w:rFonts w:ascii="Times New Roman" w:cs="Times New Roman" w:eastAsia="Times New Roman" w:hAnsi="Times New Roman"/>
          <w:color w:val="000000"/>
          <w:sz w:val="20"/>
          <w:szCs w:val="20"/>
          <w:vertAlign w:val="baseline"/>
        </w:rPr>
      </w:r>
    </w:fldSimple>
    <w:r w:rsidDel="00000000" w:rsidR="00000000" w:rsidRPr="0000000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abstractNum w:abstractNumId="1">
    <w:lvl w:ilvl="0">
      <w:start w:val="1"/>
      <w:numFmt w:val="bullet"/>
      <w:lvlText w:val="➢"/>
      <w:lvlJc w:val="left"/>
      <w:pPr>
        <w:ind w:left="720" w:firstLine="720"/>
      </w:pPr>
      <w:rPr>
        <w:rFonts w:ascii="Verdana" w:cs="Verdana" w:eastAsia="Verdana" w:hAnsi="Verdana"/>
        <w:color w:val="000000"/>
        <w:sz w:val="20"/>
        <w:szCs w:val="20"/>
        <w:vertAlign w:val="baseline"/>
      </w:rPr>
    </w:lvl>
    <w:lvl w:ilvl="1">
      <w:start w:val="1"/>
      <w:numFmt w:val="bullet"/>
      <w:lvlText w:val="➢"/>
      <w:lvlJc w:val="left"/>
      <w:pPr>
        <w:ind w:left="1080" w:firstLine="1080"/>
      </w:pPr>
      <w:rPr>
        <w:rFonts w:ascii="Verdana" w:cs="Verdana" w:eastAsia="Verdana" w:hAnsi="Verdana"/>
        <w:color w:val="000000"/>
        <w:sz w:val="20"/>
        <w:szCs w:val="20"/>
        <w:vertAlign w:val="baseline"/>
      </w:rPr>
    </w:lvl>
    <w:lvl w:ilvl="2">
      <w:start w:val="1"/>
      <w:numFmt w:val="bullet"/>
      <w:lvlText w:val="➢"/>
      <w:lvlJc w:val="left"/>
      <w:pPr>
        <w:ind w:left="1440" w:firstLine="1440"/>
      </w:pPr>
      <w:rPr>
        <w:rFonts w:ascii="Verdana" w:cs="Verdana" w:eastAsia="Verdana" w:hAnsi="Verdana"/>
        <w:color w:val="000000"/>
        <w:sz w:val="20"/>
        <w:szCs w:val="20"/>
        <w:vertAlign w:val="baseline"/>
      </w:rPr>
    </w:lvl>
    <w:lvl w:ilvl="3">
      <w:start w:val="1"/>
      <w:numFmt w:val="bullet"/>
      <w:lvlText w:val="➢"/>
      <w:lvlJc w:val="left"/>
      <w:pPr>
        <w:ind w:left="1800" w:firstLine="1800"/>
      </w:pPr>
      <w:rPr>
        <w:rFonts w:ascii="Verdana" w:cs="Verdana" w:eastAsia="Verdana" w:hAnsi="Verdana"/>
        <w:color w:val="000000"/>
        <w:sz w:val="20"/>
        <w:szCs w:val="20"/>
        <w:vertAlign w:val="baseline"/>
      </w:rPr>
    </w:lvl>
    <w:lvl w:ilvl="4">
      <w:start w:val="1"/>
      <w:numFmt w:val="bullet"/>
      <w:lvlText w:val="➢"/>
      <w:lvlJc w:val="left"/>
      <w:pPr>
        <w:ind w:left="2160" w:firstLine="2160"/>
      </w:pPr>
      <w:rPr>
        <w:rFonts w:ascii="Verdana" w:cs="Verdana" w:eastAsia="Verdana" w:hAnsi="Verdana"/>
        <w:color w:val="000000"/>
        <w:sz w:val="20"/>
        <w:szCs w:val="20"/>
        <w:vertAlign w:val="baseline"/>
      </w:rPr>
    </w:lvl>
    <w:lvl w:ilvl="5">
      <w:start w:val="1"/>
      <w:numFmt w:val="bullet"/>
      <w:lvlText w:val="➢"/>
      <w:lvlJc w:val="left"/>
      <w:pPr>
        <w:ind w:left="2520" w:firstLine="2520"/>
      </w:pPr>
      <w:rPr>
        <w:rFonts w:ascii="Verdana" w:cs="Verdana" w:eastAsia="Verdana" w:hAnsi="Verdana"/>
        <w:color w:val="000000"/>
        <w:sz w:val="20"/>
        <w:szCs w:val="20"/>
        <w:vertAlign w:val="baseline"/>
      </w:rPr>
    </w:lvl>
    <w:lvl w:ilvl="6">
      <w:start w:val="1"/>
      <w:numFmt w:val="bullet"/>
      <w:lvlText w:val="➢"/>
      <w:lvlJc w:val="left"/>
      <w:pPr>
        <w:ind w:left="2880" w:firstLine="2880"/>
      </w:pPr>
      <w:rPr>
        <w:rFonts w:ascii="Verdana" w:cs="Verdana" w:eastAsia="Verdana" w:hAnsi="Verdana"/>
        <w:color w:val="000000"/>
        <w:sz w:val="20"/>
        <w:szCs w:val="20"/>
        <w:vertAlign w:val="baseline"/>
      </w:rPr>
    </w:lvl>
    <w:lvl w:ilvl="7">
      <w:start w:val="1"/>
      <w:numFmt w:val="bullet"/>
      <w:lvlText w:val="➢"/>
      <w:lvlJc w:val="left"/>
      <w:pPr>
        <w:ind w:left="3240" w:firstLine="3240"/>
      </w:pPr>
      <w:rPr>
        <w:rFonts w:ascii="Verdana" w:cs="Verdana" w:eastAsia="Verdana" w:hAnsi="Verdana"/>
        <w:color w:val="000000"/>
        <w:sz w:val="20"/>
        <w:szCs w:val="20"/>
        <w:vertAlign w:val="baseline"/>
      </w:rPr>
    </w:lvl>
    <w:lvl w:ilvl="8">
      <w:start w:val="1"/>
      <w:numFmt w:val="bullet"/>
      <w:lvlText w:val="➢"/>
      <w:lvlJc w:val="left"/>
      <w:pPr>
        <w:ind w:left="3600" w:firstLine="3600"/>
      </w:pPr>
      <w:rPr>
        <w:rFonts w:ascii="Verdana" w:cs="Verdana" w:eastAsia="Verdana" w:hAnsi="Verdana"/>
        <w:color w:val="000000"/>
        <w:sz w:val="20"/>
        <w:szCs w:val="20"/>
        <w:vertAlign w:val="baseline"/>
      </w:rPr>
    </w:lvl>
  </w:abstractNum>
  <w:abstractNum w:abstractNumId="2">
    <w:lvl w:ilvl="0">
      <w:start w:val="1"/>
      <w:numFmt w:val="bullet"/>
      <w:lvlText w:val="➢"/>
      <w:lvlJc w:val="left"/>
      <w:pPr>
        <w:ind w:left="720" w:firstLine="720"/>
      </w:pPr>
      <w:rPr>
        <w:rFonts w:ascii="Verdana" w:cs="Verdana" w:eastAsia="Verdana" w:hAnsi="Verdana"/>
        <w:color w:val="000000"/>
        <w:sz w:val="20"/>
        <w:szCs w:val="20"/>
        <w:vertAlign w:val="baseline"/>
      </w:rPr>
    </w:lvl>
    <w:lvl w:ilvl="1">
      <w:start w:val="1"/>
      <w:numFmt w:val="bullet"/>
      <w:lvlText w:val="➢"/>
      <w:lvlJc w:val="left"/>
      <w:pPr>
        <w:ind w:left="1080" w:firstLine="1080"/>
      </w:pPr>
      <w:rPr>
        <w:rFonts w:ascii="Verdana" w:cs="Verdana" w:eastAsia="Verdana" w:hAnsi="Verdana"/>
        <w:color w:val="000000"/>
        <w:sz w:val="20"/>
        <w:szCs w:val="20"/>
        <w:vertAlign w:val="baseline"/>
      </w:rPr>
    </w:lvl>
    <w:lvl w:ilvl="2">
      <w:start w:val="1"/>
      <w:numFmt w:val="bullet"/>
      <w:lvlText w:val="➢"/>
      <w:lvlJc w:val="left"/>
      <w:pPr>
        <w:ind w:left="1440" w:firstLine="1440"/>
      </w:pPr>
      <w:rPr>
        <w:rFonts w:ascii="Verdana" w:cs="Verdana" w:eastAsia="Verdana" w:hAnsi="Verdana"/>
        <w:color w:val="000000"/>
        <w:sz w:val="20"/>
        <w:szCs w:val="20"/>
        <w:vertAlign w:val="baseline"/>
      </w:rPr>
    </w:lvl>
    <w:lvl w:ilvl="3">
      <w:start w:val="1"/>
      <w:numFmt w:val="bullet"/>
      <w:lvlText w:val="➢"/>
      <w:lvlJc w:val="left"/>
      <w:pPr>
        <w:ind w:left="1800" w:firstLine="1800"/>
      </w:pPr>
      <w:rPr>
        <w:rFonts w:ascii="Verdana" w:cs="Verdana" w:eastAsia="Verdana" w:hAnsi="Verdana"/>
        <w:color w:val="000000"/>
        <w:sz w:val="20"/>
        <w:szCs w:val="20"/>
        <w:vertAlign w:val="baseline"/>
      </w:rPr>
    </w:lvl>
    <w:lvl w:ilvl="4">
      <w:start w:val="1"/>
      <w:numFmt w:val="bullet"/>
      <w:lvlText w:val="➢"/>
      <w:lvlJc w:val="left"/>
      <w:pPr>
        <w:ind w:left="2160" w:firstLine="2160"/>
      </w:pPr>
      <w:rPr>
        <w:rFonts w:ascii="Verdana" w:cs="Verdana" w:eastAsia="Verdana" w:hAnsi="Verdana"/>
        <w:color w:val="000000"/>
        <w:sz w:val="20"/>
        <w:szCs w:val="20"/>
        <w:vertAlign w:val="baseline"/>
      </w:rPr>
    </w:lvl>
    <w:lvl w:ilvl="5">
      <w:start w:val="1"/>
      <w:numFmt w:val="bullet"/>
      <w:lvlText w:val="➢"/>
      <w:lvlJc w:val="left"/>
      <w:pPr>
        <w:ind w:left="2520" w:firstLine="2520"/>
      </w:pPr>
      <w:rPr>
        <w:rFonts w:ascii="Verdana" w:cs="Verdana" w:eastAsia="Verdana" w:hAnsi="Verdana"/>
        <w:color w:val="000000"/>
        <w:sz w:val="20"/>
        <w:szCs w:val="20"/>
        <w:vertAlign w:val="baseline"/>
      </w:rPr>
    </w:lvl>
    <w:lvl w:ilvl="6">
      <w:start w:val="1"/>
      <w:numFmt w:val="bullet"/>
      <w:lvlText w:val="➢"/>
      <w:lvlJc w:val="left"/>
      <w:pPr>
        <w:ind w:left="2880" w:firstLine="2880"/>
      </w:pPr>
      <w:rPr>
        <w:rFonts w:ascii="Verdana" w:cs="Verdana" w:eastAsia="Verdana" w:hAnsi="Verdana"/>
        <w:color w:val="000000"/>
        <w:sz w:val="20"/>
        <w:szCs w:val="20"/>
        <w:vertAlign w:val="baseline"/>
      </w:rPr>
    </w:lvl>
    <w:lvl w:ilvl="7">
      <w:start w:val="1"/>
      <w:numFmt w:val="bullet"/>
      <w:lvlText w:val="➢"/>
      <w:lvlJc w:val="left"/>
      <w:pPr>
        <w:ind w:left="3240" w:firstLine="3240"/>
      </w:pPr>
      <w:rPr>
        <w:rFonts w:ascii="Verdana" w:cs="Verdana" w:eastAsia="Verdana" w:hAnsi="Verdana"/>
        <w:color w:val="000000"/>
        <w:sz w:val="20"/>
        <w:szCs w:val="20"/>
        <w:vertAlign w:val="baseline"/>
      </w:rPr>
    </w:lvl>
    <w:lvl w:ilvl="8">
      <w:start w:val="1"/>
      <w:numFmt w:val="bullet"/>
      <w:lvlText w:val="➢"/>
      <w:lvlJc w:val="left"/>
      <w:pPr>
        <w:ind w:left="3600" w:firstLine="3600"/>
      </w:pPr>
      <w:rPr>
        <w:rFonts w:ascii="Verdana" w:cs="Verdana" w:eastAsia="Verdana" w:hAnsi="Verdana"/>
        <w:color w:val="000000"/>
        <w:sz w:val="20"/>
        <w:szCs w:val="20"/>
        <w:vertAlign w:val="baseline"/>
      </w:rPr>
    </w:lvl>
  </w:abstractNum>
  <w:abstractNum w:abstractNumId="3">
    <w:lvl w:ilvl="0">
      <w:start w:val="1"/>
      <w:numFmt w:val="decimal"/>
      <w:lvlText w:val="%1)"/>
      <w:lvlJc w:val="left"/>
      <w:pPr>
        <w:ind w:left="720" w:firstLine="720"/>
      </w:pPr>
      <w:rPr>
        <w:rFonts w:ascii="Times New Roman" w:cs="Times New Roman" w:eastAsia="Times New Roman" w:hAnsi="Times New Roman"/>
        <w:color w:val="000000"/>
        <w:sz w:val="20"/>
        <w:szCs w:val="20"/>
        <w:vertAlign w:val="baseline"/>
      </w:rPr>
    </w:lvl>
    <w:lvl w:ilvl="1">
      <w:start w:val="1"/>
      <w:numFmt w:val="decimal"/>
      <w:lvlText w:val="%2."/>
      <w:lvlJc w:val="left"/>
      <w:pPr>
        <w:ind w:left="1080" w:firstLine="1080"/>
      </w:pPr>
      <w:rPr>
        <w:rFonts w:ascii="Times New Roman" w:cs="Times New Roman" w:eastAsia="Times New Roman" w:hAnsi="Times New Roman"/>
        <w:color w:val="000000"/>
        <w:sz w:val="20"/>
        <w:szCs w:val="20"/>
        <w:vertAlign w:val="baseline"/>
      </w:rPr>
    </w:lvl>
    <w:lvl w:ilvl="2">
      <w:start w:val="1"/>
      <w:numFmt w:val="decimal"/>
      <w:lvlText w:val="%3."/>
      <w:lvlJc w:val="left"/>
      <w:pPr>
        <w:ind w:left="1440" w:firstLine="1440"/>
      </w:pPr>
      <w:rPr>
        <w:rFonts w:ascii="Times New Roman" w:cs="Times New Roman" w:eastAsia="Times New Roman" w:hAnsi="Times New Roman"/>
        <w:color w:val="000000"/>
        <w:sz w:val="20"/>
        <w:szCs w:val="20"/>
        <w:vertAlign w:val="baseline"/>
      </w:rPr>
    </w:lvl>
    <w:lvl w:ilvl="3">
      <w:start w:val="1"/>
      <w:numFmt w:val="decimal"/>
      <w:lvlText w:val="%4."/>
      <w:lvlJc w:val="left"/>
      <w:pPr>
        <w:ind w:left="1800" w:firstLine="1800"/>
      </w:pPr>
      <w:rPr>
        <w:rFonts w:ascii="Times New Roman" w:cs="Times New Roman" w:eastAsia="Times New Roman" w:hAnsi="Times New Roman"/>
        <w:color w:val="000000"/>
        <w:sz w:val="20"/>
        <w:szCs w:val="20"/>
        <w:vertAlign w:val="baseline"/>
      </w:rPr>
    </w:lvl>
    <w:lvl w:ilvl="4">
      <w:start w:val="1"/>
      <w:numFmt w:val="decimal"/>
      <w:lvlText w:val="%5."/>
      <w:lvlJc w:val="left"/>
      <w:pPr>
        <w:ind w:left="2160" w:firstLine="2160"/>
      </w:pPr>
      <w:rPr>
        <w:rFonts w:ascii="Times New Roman" w:cs="Times New Roman" w:eastAsia="Times New Roman" w:hAnsi="Times New Roman"/>
        <w:color w:val="000000"/>
        <w:sz w:val="20"/>
        <w:szCs w:val="20"/>
        <w:vertAlign w:val="baseline"/>
      </w:rPr>
    </w:lvl>
    <w:lvl w:ilvl="5">
      <w:start w:val="1"/>
      <w:numFmt w:val="decimal"/>
      <w:lvlText w:val="%6."/>
      <w:lvlJc w:val="left"/>
      <w:pPr>
        <w:ind w:left="2520" w:firstLine="2520"/>
      </w:pPr>
      <w:rPr>
        <w:rFonts w:ascii="Times New Roman" w:cs="Times New Roman" w:eastAsia="Times New Roman" w:hAnsi="Times New Roman"/>
        <w:color w:val="000000"/>
        <w:sz w:val="20"/>
        <w:szCs w:val="20"/>
        <w:vertAlign w:val="baseline"/>
      </w:rPr>
    </w:lvl>
    <w:lvl w:ilvl="6">
      <w:start w:val="1"/>
      <w:numFmt w:val="decimal"/>
      <w:lvlText w:val="%7."/>
      <w:lvlJc w:val="left"/>
      <w:pPr>
        <w:ind w:left="2880" w:firstLine="2880"/>
      </w:pPr>
      <w:rPr>
        <w:rFonts w:ascii="Times New Roman" w:cs="Times New Roman" w:eastAsia="Times New Roman" w:hAnsi="Times New Roman"/>
        <w:color w:val="000000"/>
        <w:sz w:val="20"/>
        <w:szCs w:val="20"/>
        <w:vertAlign w:val="baseline"/>
      </w:rPr>
    </w:lvl>
    <w:lvl w:ilvl="7">
      <w:start w:val="1"/>
      <w:numFmt w:val="decimal"/>
      <w:lvlText w:val="%8."/>
      <w:lvlJc w:val="left"/>
      <w:pPr>
        <w:ind w:left="3240" w:firstLine="3240"/>
      </w:pPr>
      <w:rPr>
        <w:rFonts w:ascii="Times New Roman" w:cs="Times New Roman" w:eastAsia="Times New Roman" w:hAnsi="Times New Roman"/>
        <w:color w:val="000000"/>
        <w:sz w:val="20"/>
        <w:szCs w:val="20"/>
        <w:vertAlign w:val="baseline"/>
      </w:rPr>
    </w:lvl>
    <w:lvl w:ilvl="8">
      <w:start w:val="1"/>
      <w:numFmt w:val="decimal"/>
      <w:lvlText w:val="%9."/>
      <w:lvlJc w:val="left"/>
      <w:pPr>
        <w:ind w:left="3600" w:firstLine="3600"/>
      </w:pPr>
      <w:rPr>
        <w:rFonts w:ascii="Times New Roman" w:cs="Times New Roman" w:eastAsia="Times New Roman" w:hAnsi="Times New Roman"/>
        <w:color w:val="000000"/>
        <w:sz w:val="20"/>
        <w:szCs w:val="20"/>
        <w:vertAlign w:val="baseli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color w:val="000000"/>
        <w:sz w:val="24"/>
        <w:szCs w:val="24"/>
        <w:vertAlign w:val="baseline"/>
      </w:rPr>
    </w:rPrDefault>
    <w:pPrDefault>
      <w:pPr>
        <w:widowControl w:val="1"/>
        <w:spacing w:after="0" w:before="0" w:line="240" w:lineRule="auto"/>
        <w:ind w:left="0" w:right="0" w:firstLine="0"/>
        <w:contextualSpacing w:val="1"/>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spacing w:after="60" w:before="240" w:lineRule="auto"/>
      <w:contextualSpacing w:val="1"/>
    </w:pPr>
    <w:rPr>
      <w:rFonts w:ascii="Arial" w:cs="Arial" w:eastAsia="Arial" w:hAnsi="Arial"/>
      <w:b w:val="1"/>
      <w:sz w:val="32"/>
      <w:szCs w:val="32"/>
    </w:rPr>
  </w:style>
  <w:style w:type="paragraph" w:styleId="Heading2">
    <w:name w:val="heading 2"/>
    <w:basedOn w:val="Normal"/>
    <w:next w:val="Normal"/>
    <w:pPr>
      <w:keepNext w:val="1"/>
      <w:spacing w:after="60" w:before="240" w:lineRule="auto"/>
      <w:contextualSpacing w:val="1"/>
    </w:pPr>
    <w:rPr>
      <w:rFonts w:ascii="Arial" w:cs="Arial" w:eastAsia="Arial" w:hAnsi="Arial"/>
      <w:b w:val="1"/>
      <w:i w:val="1"/>
      <w:sz w:val="28"/>
      <w:szCs w:val="28"/>
    </w:rPr>
  </w:style>
  <w:style w:type="paragraph" w:styleId="Heading3">
    <w:name w:val="heading 3"/>
    <w:basedOn w:val="Normal"/>
    <w:next w:val="Normal"/>
    <w:pPr>
      <w:keepNext w:val="1"/>
      <w:spacing w:after="60" w:before="240" w:lineRule="auto"/>
      <w:contextualSpacing w:val="1"/>
    </w:pPr>
    <w:rPr>
      <w:rFonts w:ascii="Arial" w:cs="Arial" w:eastAsia="Arial" w:hAnsi="Arial"/>
      <w:b w:val="1"/>
      <w:sz w:val="26"/>
      <w:szCs w:val="26"/>
    </w:rPr>
  </w:style>
  <w:style w:type="paragraph" w:styleId="Heading4">
    <w:name w:val="heading 4"/>
    <w:basedOn w:val="Normal"/>
    <w:next w:val="Normal"/>
    <w:pPr>
      <w:keepNext w:val="1"/>
      <w:spacing w:after="60" w:before="240" w:lineRule="auto"/>
      <w:contextualSpacing w:val="1"/>
    </w:pPr>
    <w:rPr>
      <w:b w:val="1"/>
      <w:sz w:val="28"/>
      <w:szCs w:val="28"/>
    </w:rPr>
  </w:style>
  <w:style w:type="paragraph" w:styleId="Heading5">
    <w:name w:val="heading 5"/>
    <w:basedOn w:val="Normal"/>
    <w:next w:val="Normal"/>
    <w:pPr>
      <w:spacing w:after="60" w:before="240" w:lineRule="auto"/>
      <w:contextualSpacing w:val="1"/>
    </w:pPr>
    <w:rPr>
      <w:b w:val="1"/>
      <w:i w:val="1"/>
      <w:sz w:val="26"/>
      <w:szCs w:val="26"/>
    </w:rPr>
  </w:style>
  <w:style w:type="paragraph" w:styleId="Heading6">
    <w:name w:val="heading 6"/>
    <w:basedOn w:val="Normal"/>
    <w:next w:val="Normal"/>
    <w:pPr>
      <w:spacing w:after="60" w:before="240" w:lineRule="auto"/>
      <w:contextualSpacing w:val="1"/>
    </w:pPr>
    <w:rPr>
      <w:b w:val="1"/>
      <w:sz w:val="22"/>
      <w:szCs w:val="22"/>
    </w:rPr>
  </w:style>
  <w:style w:type="paragraph" w:styleId="Title">
    <w:name w:val="Title"/>
    <w:basedOn w:val="Normal"/>
    <w:next w:val="Normal"/>
    <w:pPr>
      <w:spacing w:after="60" w:before="240" w:lineRule="auto"/>
      <w:contextualSpacing w:val="1"/>
      <w:jc w:val="center"/>
    </w:pPr>
    <w:rPr>
      <w:rFonts w:ascii="Arial" w:cs="Arial" w:eastAsia="Arial" w:hAnsi="Arial"/>
      <w:b w:val="1"/>
      <w:sz w:val="32"/>
      <w:szCs w:val="32"/>
    </w:rPr>
  </w:style>
  <w:style w:type="paragraph" w:styleId="Subtitle">
    <w:name w:val="Subtitle"/>
    <w:basedOn w:val="Normal"/>
    <w:next w:val="Normal"/>
    <w:pPr>
      <w:spacing w:after="60" w:lineRule="auto"/>
      <w:contextualSpacing w:val="1"/>
      <w:jc w:val="center"/>
    </w:pPr>
    <w:rPr>
      <w:rFonts w:ascii="Arial" w:cs="Arial" w:eastAsia="Arial" w:hAnsi="Arial"/>
    </w:rPr>
  </w:style>
  <w:style w:type="table" w:styleId="Table1">
    <w:basedOn w:val="TableNormal"/>
    <w:tblPr>
      <w:tblStyleRowBandSize w:val="1"/>
      <w:tblStyleColBandSize w:val="1"/>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2" Type="http://schemas.openxmlformats.org/officeDocument/2006/relationships/fontTable" Target="fontTable.xml"/><Relationship Id="rId1" Type="http://schemas.openxmlformats.org/officeDocument/2006/relationships/settings" Target="settings.xml"/><Relationship Id="rId4" Type="http://schemas.openxmlformats.org/officeDocument/2006/relationships/styles" Target="styles.xml"/><Relationship Id="rId3" Type="http://schemas.openxmlformats.org/officeDocument/2006/relationships/numbering" Target="numbering.xml"/><Relationship Id="rId5" Type="http://schemas.openxmlformats.org/officeDocument/2006/relationships/footer" Target="footer1.xml"/></Relationships>
</file>